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00" w:lineRule="exact"/>
        <w:textAlignment w:val="auto"/>
        <w:rPr>
          <w:rFonts w:ascii="华文中宋" w:hAnsi="华文中宋" w:eastAsia="华文中宋"/>
          <w:color w:val="auto"/>
          <w:sz w:val="44"/>
          <w:szCs w:val="44"/>
          <w:u w:val="none"/>
        </w:rPr>
      </w:pPr>
    </w:p>
    <w:p>
      <w:pPr>
        <w:keepNext w:val="0"/>
        <w:keepLines w:val="0"/>
        <w:pageBreakBefore w:val="0"/>
        <w:kinsoku/>
        <w:wordWrap/>
        <w:overflowPunct/>
        <w:topLinePunct w:val="0"/>
        <w:autoSpaceDE/>
        <w:autoSpaceDN/>
        <w:bidi w:val="0"/>
        <w:adjustRightInd/>
        <w:snapToGrid w:val="0"/>
        <w:spacing w:line="500" w:lineRule="exact"/>
        <w:textAlignment w:val="auto"/>
        <w:rPr>
          <w:rFonts w:ascii="华文中宋" w:hAnsi="华文中宋" w:eastAsia="华文中宋"/>
          <w:color w:val="auto"/>
          <w:sz w:val="44"/>
          <w:szCs w:val="44"/>
          <w:u w:val="none"/>
        </w:rPr>
      </w:pP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方正小标宋简体" w:hAnsi="方正小标宋简体" w:eastAsia="方正小标宋简体" w:cs="方正小标宋简体"/>
          <w:b w:val="0"/>
          <w:bCs w:val="0"/>
          <w:color w:val="auto"/>
          <w:sz w:val="44"/>
          <w:szCs w:val="44"/>
          <w:u w:val="none"/>
        </w:rPr>
      </w:pPr>
      <w:r>
        <w:rPr>
          <w:rFonts w:ascii="华文中宋" w:hAnsi="华文中宋" w:eastAsia="华文中宋"/>
          <w:b/>
          <w:bCs/>
          <w:color w:val="auto"/>
          <w:sz w:val="44"/>
          <w:szCs w:val="44"/>
          <w:u w:val="none"/>
        </w:rPr>
        <w:t xml:space="preserve"> </w:t>
      </w:r>
      <w:r>
        <w:rPr>
          <w:rFonts w:hint="eastAsia" w:ascii="方正小标宋简体" w:hAnsi="方正小标宋简体" w:eastAsia="方正小标宋简体" w:cs="方正小标宋简体"/>
          <w:b w:val="0"/>
          <w:bCs w:val="0"/>
          <w:color w:val="auto"/>
          <w:sz w:val="44"/>
          <w:szCs w:val="44"/>
          <w:u w:val="none"/>
        </w:rPr>
        <w:t>上饶开放大学2021年度发展报告</w:t>
      </w:r>
    </w:p>
    <w:p>
      <w:pPr>
        <w:keepNext w:val="0"/>
        <w:keepLines w:val="0"/>
        <w:pageBreakBefore w:val="0"/>
        <w:kinsoku/>
        <w:wordWrap/>
        <w:overflowPunct/>
        <w:topLinePunct w:val="0"/>
        <w:autoSpaceDE/>
        <w:autoSpaceDN/>
        <w:bidi w:val="0"/>
        <w:adjustRightInd/>
        <w:snapToGrid w:val="0"/>
        <w:spacing w:line="500" w:lineRule="exact"/>
        <w:jc w:val="left"/>
        <w:textAlignment w:val="auto"/>
        <w:rPr>
          <w:rFonts w:ascii="黑体" w:hAnsi="黑体" w:eastAsia="黑体"/>
          <w:color w:val="auto"/>
          <w:sz w:val="32"/>
          <w:szCs w:val="32"/>
          <w:u w:val="none"/>
        </w:rPr>
      </w:pPr>
    </w:p>
    <w:p>
      <w:pPr>
        <w:pStyle w:val="16"/>
        <w:keepNext w:val="0"/>
        <w:keepLines w:val="0"/>
        <w:pageBreakBefore w:val="0"/>
        <w:numPr>
          <w:ilvl w:val="0"/>
          <w:numId w:val="1"/>
        </w:numPr>
        <w:kinsoku/>
        <w:wordWrap/>
        <w:overflowPunct/>
        <w:topLinePunct w:val="0"/>
        <w:autoSpaceDE/>
        <w:autoSpaceDN/>
        <w:bidi w:val="0"/>
        <w:adjustRightInd/>
        <w:snapToGrid w:val="0"/>
        <w:spacing w:line="500" w:lineRule="exact"/>
        <w:ind w:firstLineChars="0"/>
        <w:jc w:val="both"/>
        <w:textAlignment w:val="auto"/>
        <w:rPr>
          <w:rFonts w:ascii="黑体" w:hAnsi="黑体" w:eastAsia="黑体"/>
          <w:color w:val="auto"/>
          <w:sz w:val="32"/>
          <w:szCs w:val="32"/>
          <w:u w:val="none"/>
        </w:rPr>
      </w:pPr>
      <w:r>
        <w:rPr>
          <w:rFonts w:ascii="黑体" w:hAnsi="黑体" w:eastAsia="黑体"/>
          <w:color w:val="auto"/>
          <w:sz w:val="32"/>
          <w:szCs w:val="32"/>
          <w:u w:val="none"/>
        </w:rPr>
        <w:t>省校重点工作推进情况</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（一）深入开展党史学习教育</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stheme="minorEastAsia"/>
          <w:color w:val="auto"/>
          <w:sz w:val="32"/>
          <w:szCs w:val="32"/>
          <w:u w:val="none"/>
        </w:rPr>
      </w:pPr>
      <w:r>
        <w:rPr>
          <w:rFonts w:hint="eastAsia" w:ascii="仿宋" w:hAnsi="仿宋" w:eastAsia="仿宋" w:cstheme="minorEastAsia"/>
          <w:color w:val="auto"/>
          <w:sz w:val="32"/>
          <w:szCs w:val="32"/>
          <w:u w:val="none"/>
        </w:rPr>
        <w:t>全面部署党史学习教育，成立党史学习教育活动领导小组。开展大学习、大讨论。缅怀先烈，开展传承红色基因系列活动。领导率先上党课。</w:t>
      </w:r>
    </w:p>
    <w:p>
      <w:pPr>
        <w:pStyle w:val="9"/>
        <w:keepNext w:val="0"/>
        <w:keepLines w:val="0"/>
        <w:pageBreakBefore w:val="0"/>
        <w:shd w:val="clear" w:color="auto"/>
        <w:kinsoku/>
        <w:wordWrap/>
        <w:overflowPunct/>
        <w:topLinePunct w:val="0"/>
        <w:autoSpaceDE/>
        <w:autoSpaceDN/>
        <w:bidi w:val="0"/>
        <w:adjustRightInd/>
        <w:spacing w:before="0" w:beforeAutospacing="0" w:after="0" w:afterAutospacing="0" w:line="500" w:lineRule="exact"/>
        <w:ind w:firstLine="640" w:firstLineChars="200"/>
        <w:jc w:val="both"/>
        <w:textAlignment w:val="auto"/>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（二）积极推进更名工作，多元办学规模不断扩大</w:t>
      </w:r>
    </w:p>
    <w:p>
      <w:pPr>
        <w:pStyle w:val="9"/>
        <w:keepNext w:val="0"/>
        <w:keepLines w:val="0"/>
        <w:pageBreakBefore w:val="0"/>
        <w:shd w:val="clear" w:color="auto"/>
        <w:kinsoku/>
        <w:wordWrap/>
        <w:overflowPunct/>
        <w:topLinePunct w:val="0"/>
        <w:autoSpaceDE/>
        <w:autoSpaceDN/>
        <w:bidi w:val="0"/>
        <w:adjustRightInd/>
        <w:spacing w:before="0" w:beforeAutospacing="0" w:after="0" w:afterAutospacing="0" w:line="500" w:lineRule="exact"/>
        <w:ind w:firstLine="640" w:firstLineChars="200"/>
        <w:jc w:val="both"/>
        <w:textAlignment w:val="auto"/>
        <w:rPr>
          <w:rFonts w:ascii="仿宋" w:hAnsi="仿宋" w:eastAsia="仿宋" w:cstheme="minorEastAsia"/>
          <w:color w:val="auto"/>
          <w:sz w:val="32"/>
          <w:szCs w:val="32"/>
          <w:u w:val="none"/>
        </w:rPr>
      </w:pPr>
      <w:r>
        <w:rPr>
          <w:rFonts w:hint="eastAsia" w:ascii="仿宋" w:hAnsi="仿宋" w:eastAsia="仿宋" w:cstheme="minorEastAsia"/>
          <w:color w:val="auto"/>
          <w:sz w:val="32"/>
          <w:szCs w:val="32"/>
          <w:u w:val="none"/>
          <w:lang w:val="en-US" w:eastAsia="zh-CN"/>
        </w:rPr>
        <w:t>2021年9月，</w:t>
      </w:r>
      <w:r>
        <w:rPr>
          <w:rFonts w:hint="eastAsia" w:ascii="仿宋" w:hAnsi="仿宋" w:eastAsia="仿宋" w:cstheme="minorEastAsia"/>
          <w:color w:val="auto"/>
          <w:sz w:val="32"/>
          <w:szCs w:val="32"/>
          <w:u w:val="none"/>
        </w:rPr>
        <w:t>市</w:t>
      </w:r>
      <w:r>
        <w:rPr>
          <w:rFonts w:hint="eastAsia" w:ascii="仿宋" w:hAnsi="仿宋" w:eastAsia="仿宋" w:cstheme="minorEastAsia"/>
          <w:color w:val="auto"/>
          <w:sz w:val="32"/>
          <w:szCs w:val="32"/>
          <w:u w:val="none"/>
          <w:lang w:eastAsia="zh-CN"/>
        </w:rPr>
        <w:t>电大</w:t>
      </w:r>
      <w:r>
        <w:rPr>
          <w:rFonts w:hint="eastAsia" w:ascii="仿宋" w:hAnsi="仿宋" w:eastAsia="仿宋" w:cstheme="minorEastAsia"/>
          <w:color w:val="auto"/>
          <w:sz w:val="32"/>
          <w:szCs w:val="32"/>
          <w:u w:val="none"/>
        </w:rPr>
        <w:t>获得市委、市政府、市编委的批复</w:t>
      </w:r>
      <w:r>
        <w:rPr>
          <w:rFonts w:hint="eastAsia" w:ascii="仿宋" w:hAnsi="仿宋" w:eastAsia="仿宋" w:cstheme="minorEastAsia"/>
          <w:color w:val="auto"/>
          <w:sz w:val="32"/>
          <w:szCs w:val="32"/>
          <w:u w:val="none"/>
          <w:lang w:eastAsia="zh-CN"/>
        </w:rPr>
        <w:t>；</w:t>
      </w:r>
      <w:r>
        <w:rPr>
          <w:rFonts w:hint="eastAsia" w:ascii="仿宋" w:hAnsi="仿宋" w:eastAsia="仿宋" w:cstheme="minorEastAsia"/>
          <w:color w:val="auto"/>
          <w:sz w:val="32"/>
          <w:szCs w:val="32"/>
          <w:u w:val="none"/>
          <w:lang w:val="en-US" w:eastAsia="zh-CN"/>
        </w:rPr>
        <w:t>2022年2月前，</w:t>
      </w:r>
      <w:r>
        <w:rPr>
          <w:rFonts w:hint="eastAsia" w:ascii="仿宋" w:hAnsi="仿宋" w:eastAsia="仿宋" w:cstheme="minorEastAsia"/>
          <w:color w:val="auto"/>
          <w:sz w:val="32"/>
          <w:szCs w:val="32"/>
          <w:u w:val="none"/>
          <w:lang w:eastAsia="zh-CN"/>
        </w:rPr>
        <w:t>完成</w:t>
      </w:r>
      <w:r>
        <w:rPr>
          <w:rFonts w:hint="eastAsia" w:ascii="仿宋" w:hAnsi="仿宋" w:eastAsia="仿宋" w:cstheme="minorEastAsia"/>
          <w:color w:val="auto"/>
          <w:sz w:val="32"/>
          <w:szCs w:val="32"/>
          <w:u w:val="none"/>
        </w:rPr>
        <w:t>11</w:t>
      </w:r>
      <w:r>
        <w:rPr>
          <w:rFonts w:hint="eastAsia" w:ascii="仿宋" w:hAnsi="仿宋" w:eastAsia="仿宋" w:cstheme="minorEastAsia"/>
          <w:color w:val="auto"/>
          <w:sz w:val="32"/>
          <w:szCs w:val="32"/>
          <w:u w:val="none"/>
          <w:lang w:eastAsia="zh-CN"/>
        </w:rPr>
        <w:t>所开放学院</w:t>
      </w:r>
      <w:r>
        <w:rPr>
          <w:rFonts w:hint="eastAsia" w:ascii="仿宋" w:hAnsi="仿宋" w:eastAsia="仿宋" w:cstheme="minorEastAsia"/>
          <w:color w:val="auto"/>
          <w:sz w:val="32"/>
          <w:szCs w:val="32"/>
          <w:u w:val="none"/>
        </w:rPr>
        <w:t>更名</w:t>
      </w:r>
      <w:r>
        <w:rPr>
          <w:rFonts w:hint="eastAsia" w:ascii="仿宋" w:hAnsi="仿宋" w:eastAsia="仿宋" w:cstheme="minorEastAsia"/>
          <w:color w:val="auto"/>
          <w:sz w:val="32"/>
          <w:szCs w:val="32"/>
          <w:u w:val="none"/>
          <w:lang w:eastAsia="zh-CN"/>
        </w:rPr>
        <w:t>工作</w:t>
      </w:r>
      <w:r>
        <w:rPr>
          <w:rFonts w:hint="eastAsia" w:ascii="仿宋" w:hAnsi="仿宋" w:eastAsia="仿宋" w:cstheme="minorEastAsia"/>
          <w:color w:val="auto"/>
          <w:sz w:val="32"/>
          <w:szCs w:val="32"/>
          <w:u w:val="none"/>
        </w:rPr>
        <w:t>。坚持以开放教育为主体，多渠道全方位加大合作办学力度。大力推进非学历继续教育培训项目发展，形成了多元化继续教育办学新格局。</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（三）积极开展“我为群众办实事”实践活动</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stheme="minorEastAsia"/>
          <w:color w:val="auto"/>
          <w:sz w:val="32"/>
          <w:szCs w:val="32"/>
          <w:u w:val="none"/>
        </w:rPr>
        <w:t>落实社区结对共建活动，对校园内居民宿舍区院落和校内运动场所进行环境整治，</w:t>
      </w:r>
      <w:r>
        <w:rPr>
          <w:rFonts w:hint="eastAsia" w:ascii="仿宋" w:hAnsi="仿宋" w:eastAsia="仿宋"/>
          <w:color w:val="auto"/>
          <w:sz w:val="32"/>
          <w:szCs w:val="32"/>
          <w:u w:val="none"/>
        </w:rPr>
        <w:t>以学生为中心，为学员提供优质服务。让日常的导学、助学和促学能在实际中落实到位。</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（四）凝聚共识、狠抓“三治”工作</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s="Times New Roman"/>
          <w:color w:val="auto"/>
          <w:sz w:val="32"/>
          <w:szCs w:val="32"/>
          <w:u w:val="none"/>
        </w:rPr>
        <w:t>全面落实《开放教育质量提升综合治理工程工作方案</w:t>
      </w:r>
      <w:r>
        <w:rPr>
          <w:rFonts w:hint="eastAsia" w:ascii="仿宋" w:hAnsi="仿宋" w:eastAsia="仿宋" w:cs="Times New Roman"/>
          <w:color w:val="auto"/>
          <w:sz w:val="32"/>
          <w:szCs w:val="32"/>
          <w:u w:val="none"/>
          <w:lang w:eastAsia="zh-CN"/>
        </w:rPr>
        <w:t>（</w:t>
      </w:r>
      <w:r>
        <w:rPr>
          <w:rFonts w:hint="eastAsia" w:ascii="仿宋" w:hAnsi="仿宋" w:eastAsia="仿宋" w:cs="Times New Roman"/>
          <w:color w:val="auto"/>
          <w:sz w:val="32"/>
          <w:szCs w:val="32"/>
          <w:u w:val="none"/>
        </w:rPr>
        <w:t>试行）》，定期召开</w:t>
      </w:r>
      <w:r>
        <w:rPr>
          <w:rFonts w:hint="eastAsia" w:ascii="仿宋" w:hAnsi="仿宋" w:eastAsia="仿宋"/>
          <w:color w:val="auto"/>
          <w:sz w:val="32"/>
          <w:szCs w:val="32"/>
          <w:u w:val="none"/>
        </w:rPr>
        <w:t>党政联席会，专门研究，部署</w:t>
      </w:r>
      <w:r>
        <w:rPr>
          <w:rFonts w:hint="eastAsia" w:ascii="仿宋" w:hAnsi="仿宋" w:eastAsia="仿宋" w:cs="仿宋"/>
          <w:color w:val="auto"/>
          <w:sz w:val="32"/>
          <w:szCs w:val="32"/>
          <w:u w:val="none"/>
        </w:rPr>
        <w:t>“三治”</w:t>
      </w:r>
      <w:r>
        <w:rPr>
          <w:rFonts w:hint="eastAsia" w:ascii="仿宋" w:hAnsi="仿宋" w:eastAsia="仿宋"/>
          <w:color w:val="auto"/>
          <w:sz w:val="32"/>
          <w:szCs w:val="32"/>
          <w:u w:val="none"/>
        </w:rPr>
        <w:t>工作，分别确定治招、治学、治考责任部门及人员的分工，对各个环节抓落实。强化“三严”工作，即：</w:t>
      </w:r>
      <w:r>
        <w:rPr>
          <w:rFonts w:hint="eastAsia" w:ascii="仿宋" w:hAnsi="仿宋" w:eastAsia="仿宋" w:cs="仿宋"/>
          <w:color w:val="auto"/>
          <w:sz w:val="32"/>
          <w:szCs w:val="32"/>
          <w:u w:val="none"/>
        </w:rPr>
        <w:t>严格招生过程管理；严格教学过程管理；</w:t>
      </w:r>
      <w:r>
        <w:rPr>
          <w:rFonts w:hint="eastAsia" w:ascii="仿宋" w:hAnsi="仿宋" w:eastAsia="仿宋"/>
          <w:color w:val="auto"/>
          <w:sz w:val="32"/>
          <w:szCs w:val="32"/>
          <w:u w:val="none"/>
        </w:rPr>
        <w:t>严格考试工作管理。</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（五）持续推进常态化防控工作</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stheme="minorEastAsia"/>
          <w:color w:val="auto"/>
          <w:sz w:val="32"/>
          <w:szCs w:val="32"/>
          <w:u w:val="none"/>
        </w:rPr>
        <w:t>坚决贯彻落实中央、省委和市委疫情防控工作部署，高度重视新型冠状病毒感染肺炎疫情防控工作，提高思想认识。压紧压实责任，形成联防联控工作合力，进一步完善干部教师防控管理与督查的工作体制机制。</w:t>
      </w:r>
      <w:r>
        <w:rPr>
          <w:rFonts w:hint="eastAsia" w:ascii="仿宋" w:hAnsi="仿宋" w:eastAsia="仿宋" w:cstheme="minorEastAsia"/>
          <w:color w:val="auto"/>
          <w:sz w:val="32"/>
          <w:szCs w:val="32"/>
          <w:u w:val="none"/>
          <w:lang w:val="en-US" w:eastAsia="zh-CN"/>
        </w:rPr>
        <w:t>上饶</w:t>
      </w:r>
      <w:r>
        <w:rPr>
          <w:rFonts w:hint="eastAsia" w:ascii="仿宋" w:hAnsi="仿宋" w:eastAsia="仿宋" w:cstheme="minorEastAsia"/>
          <w:color w:val="auto"/>
          <w:sz w:val="32"/>
          <w:szCs w:val="32"/>
          <w:u w:val="none"/>
        </w:rPr>
        <w:t>市突发新冠肺炎疫情后，全体党员积极响应，发挥先锋模范作用，主动担当作为，始终冲在抗击疫情、服务群众的最前沿，到所住社区参与做好所住社区内防控疫情值守和服务居民的工作。</w:t>
      </w:r>
    </w:p>
    <w:p>
      <w:pPr>
        <w:keepNext w:val="0"/>
        <w:keepLines w:val="0"/>
        <w:pageBreakBefore w:val="0"/>
        <w:kinsoku/>
        <w:wordWrap/>
        <w:overflowPunct/>
        <w:topLinePunct w:val="0"/>
        <w:autoSpaceDE/>
        <w:autoSpaceDN/>
        <w:bidi w:val="0"/>
        <w:adjustRightInd/>
        <w:snapToGrid w:val="0"/>
        <w:spacing w:line="500" w:lineRule="exact"/>
        <w:ind w:firstLine="648"/>
        <w:jc w:val="both"/>
        <w:textAlignment w:val="auto"/>
        <w:rPr>
          <w:rFonts w:ascii="黑体" w:hAnsi="黑体" w:eastAsia="黑体"/>
          <w:color w:val="auto"/>
          <w:kern w:val="0"/>
          <w:sz w:val="32"/>
          <w:szCs w:val="32"/>
          <w:u w:val="none"/>
        </w:rPr>
      </w:pPr>
      <w:r>
        <w:rPr>
          <w:rFonts w:hint="eastAsia" w:ascii="黑体" w:hAnsi="黑体" w:eastAsia="黑体"/>
          <w:color w:val="auto"/>
          <w:sz w:val="32"/>
          <w:szCs w:val="32"/>
          <w:u w:val="none"/>
        </w:rPr>
        <w:t>二、</w:t>
      </w:r>
      <w:r>
        <w:rPr>
          <w:rFonts w:ascii="黑体" w:hAnsi="黑体" w:eastAsia="黑体"/>
          <w:color w:val="auto"/>
          <w:sz w:val="32"/>
          <w:szCs w:val="32"/>
          <w:u w:val="none"/>
        </w:rPr>
        <w:t>人才培养</w:t>
      </w:r>
      <w:r>
        <w:rPr>
          <w:rFonts w:ascii="黑体" w:hAnsi="黑体" w:eastAsia="黑体"/>
          <w:color w:val="auto"/>
          <w:kern w:val="0"/>
          <w:sz w:val="32"/>
          <w:szCs w:val="32"/>
          <w:u w:val="none"/>
        </w:rPr>
        <w:t xml:space="preserve">  </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ascii="楷体" w:hAnsi="楷体" w:eastAsia="楷体"/>
          <w:color w:val="auto"/>
          <w:sz w:val="32"/>
          <w:szCs w:val="32"/>
          <w:u w:val="none"/>
        </w:rPr>
      </w:pPr>
      <w:r>
        <w:rPr>
          <w:rFonts w:ascii="楷体" w:hAnsi="楷体" w:eastAsia="楷体"/>
          <w:color w:val="auto"/>
          <w:sz w:val="32"/>
          <w:szCs w:val="32"/>
          <w:u w:val="none"/>
        </w:rPr>
        <w:t>（一）学历教育整体培养情况</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2021年度各类在籍（校）生17938人，同比增加4.1%；共培养各类毕业生共6130人，同比增加27.4%。</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2021年度共有</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教育在籍生1</w:t>
      </w:r>
      <w:r>
        <w:rPr>
          <w:rFonts w:hint="eastAsia" w:ascii="仿宋" w:hAnsi="仿宋" w:eastAsia="仿宋" w:cs="仿宋"/>
          <w:color w:val="auto"/>
          <w:sz w:val="32"/>
          <w:szCs w:val="32"/>
          <w:u w:val="none"/>
          <w:lang w:val="en-US" w:eastAsia="zh-CN"/>
        </w:rPr>
        <w:t>5893</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同比减少0.63%。</w:t>
      </w:r>
      <w:r>
        <w:rPr>
          <w:rFonts w:hint="eastAsia" w:ascii="仿宋" w:hAnsi="仿宋" w:eastAsia="仿宋" w:cs="仿宋"/>
          <w:color w:val="auto"/>
          <w:sz w:val="32"/>
          <w:szCs w:val="32"/>
          <w:u w:val="none"/>
        </w:rPr>
        <w:t>其中，本科3061人，占比1</w:t>
      </w:r>
      <w:r>
        <w:rPr>
          <w:rFonts w:hint="eastAsia" w:ascii="仿宋" w:hAnsi="仿宋" w:eastAsia="仿宋" w:cs="仿宋"/>
          <w:color w:val="auto"/>
          <w:sz w:val="32"/>
          <w:szCs w:val="32"/>
          <w:u w:val="none"/>
          <w:lang w:val="en-US" w:eastAsia="zh-CN"/>
        </w:rPr>
        <w:t>9</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26</w:t>
      </w:r>
      <w:r>
        <w:rPr>
          <w:rFonts w:hint="eastAsia" w:ascii="仿宋" w:hAnsi="仿宋" w:eastAsia="仿宋" w:cs="仿宋"/>
          <w:color w:val="auto"/>
          <w:sz w:val="32"/>
          <w:szCs w:val="32"/>
          <w:u w:val="none"/>
          <w:shd w:val="clear" w:color="auto" w:fill="FFFFFF"/>
        </w:rPr>
        <w:t>%；</w:t>
      </w:r>
      <w:r>
        <w:rPr>
          <w:rFonts w:hint="eastAsia" w:ascii="仿宋" w:hAnsi="仿宋" w:eastAsia="仿宋" w:cs="仿宋"/>
          <w:color w:val="auto"/>
          <w:sz w:val="32"/>
          <w:szCs w:val="32"/>
          <w:u w:val="none"/>
        </w:rPr>
        <w:t>专科12832人，占比</w:t>
      </w:r>
      <w:r>
        <w:rPr>
          <w:rFonts w:hint="eastAsia" w:ascii="仿宋" w:hAnsi="仿宋" w:eastAsia="仿宋" w:cs="仿宋"/>
          <w:color w:val="auto"/>
          <w:sz w:val="32"/>
          <w:szCs w:val="32"/>
          <w:u w:val="none"/>
          <w:lang w:val="en-US" w:eastAsia="zh-CN"/>
        </w:rPr>
        <w:t>80</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74</w:t>
      </w:r>
      <w:r>
        <w:rPr>
          <w:rFonts w:hint="eastAsia" w:ascii="仿宋" w:hAnsi="仿宋" w:eastAsia="仿宋" w:cs="仿宋"/>
          <w:color w:val="auto"/>
          <w:sz w:val="32"/>
          <w:szCs w:val="32"/>
          <w:u w:val="none"/>
          <w:shd w:val="clear" w:color="auto" w:fill="FFFFFF"/>
        </w:rPr>
        <w:t>%</w:t>
      </w:r>
      <w:r>
        <w:rPr>
          <w:rFonts w:hint="eastAsia" w:ascii="仿宋" w:hAnsi="仿宋" w:eastAsia="仿宋" w:cs="仿宋"/>
          <w:color w:val="auto"/>
          <w:sz w:val="32"/>
          <w:szCs w:val="32"/>
          <w:u w:val="none"/>
        </w:rPr>
        <w:t>。2021年度共培养</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教育毕业生</w:t>
      </w:r>
      <w:r>
        <w:rPr>
          <w:rFonts w:hint="eastAsia" w:ascii="仿宋" w:hAnsi="仿宋" w:eastAsia="仿宋" w:cs="仿宋"/>
          <w:color w:val="auto"/>
          <w:sz w:val="32"/>
          <w:szCs w:val="32"/>
          <w:u w:val="none"/>
          <w:lang w:val="en-US" w:eastAsia="zh-CN"/>
        </w:rPr>
        <w:t>5094</w:t>
      </w:r>
      <w:r>
        <w:rPr>
          <w:rFonts w:hint="eastAsia" w:ascii="仿宋" w:hAnsi="仿宋" w:eastAsia="仿宋" w:cs="仿宋"/>
          <w:color w:val="auto"/>
          <w:sz w:val="32"/>
          <w:szCs w:val="32"/>
          <w:u w:val="none"/>
        </w:rPr>
        <w:t>人。其中，本科1015人，占比1</w:t>
      </w:r>
      <w:r>
        <w:rPr>
          <w:rFonts w:hint="eastAsia" w:ascii="仿宋" w:hAnsi="仿宋" w:eastAsia="仿宋" w:cs="仿宋"/>
          <w:color w:val="auto"/>
          <w:sz w:val="32"/>
          <w:szCs w:val="32"/>
          <w:u w:val="none"/>
          <w:lang w:val="en-US" w:eastAsia="zh-CN"/>
        </w:rPr>
        <w:t>9</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93</w:t>
      </w:r>
      <w:r>
        <w:rPr>
          <w:rFonts w:hint="eastAsia" w:ascii="仿宋" w:hAnsi="仿宋" w:eastAsia="仿宋" w:cs="仿宋"/>
          <w:color w:val="auto"/>
          <w:sz w:val="32"/>
          <w:szCs w:val="32"/>
          <w:u w:val="none"/>
        </w:rPr>
        <w:t>%；专科4079人，占比</w:t>
      </w:r>
      <w:r>
        <w:rPr>
          <w:rFonts w:hint="eastAsia" w:ascii="仿宋" w:hAnsi="仿宋" w:eastAsia="仿宋" w:cs="仿宋"/>
          <w:color w:val="auto"/>
          <w:sz w:val="32"/>
          <w:szCs w:val="32"/>
          <w:u w:val="none"/>
          <w:lang w:val="en-US" w:eastAsia="zh-CN"/>
        </w:rPr>
        <w:t>80</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07</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eastAsia="zh-CN"/>
        </w:rPr>
        <w:t>。</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2.成人高等教育</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2021年度共有成人高等教育</w:t>
      </w:r>
      <w:r>
        <w:rPr>
          <w:rFonts w:hint="eastAsia" w:ascii="仿宋" w:hAnsi="仿宋" w:eastAsia="仿宋" w:cs="仿宋"/>
          <w:color w:val="auto"/>
          <w:sz w:val="32"/>
          <w:szCs w:val="32"/>
          <w:u w:val="none"/>
        </w:rPr>
        <w:t>专科</w:t>
      </w:r>
      <w:r>
        <w:rPr>
          <w:rFonts w:hint="eastAsia" w:ascii="仿宋" w:hAnsi="仿宋" w:eastAsia="仿宋" w:cs="仿宋"/>
          <w:color w:val="auto"/>
          <w:sz w:val="32"/>
          <w:szCs w:val="32"/>
          <w:u w:val="none"/>
          <w:lang w:val="en-US" w:eastAsia="zh-CN"/>
        </w:rPr>
        <w:t>在籍生</w:t>
      </w:r>
      <w:r>
        <w:rPr>
          <w:rFonts w:hint="eastAsia" w:ascii="仿宋" w:hAnsi="仿宋" w:eastAsia="仿宋" w:cs="仿宋"/>
          <w:color w:val="auto"/>
          <w:sz w:val="32"/>
          <w:szCs w:val="32"/>
          <w:u w:val="none"/>
        </w:rPr>
        <w:t>1589人</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成人高等教育专科毕业生</w:t>
      </w:r>
      <w:r>
        <w:rPr>
          <w:rFonts w:hint="eastAsia" w:ascii="仿宋" w:hAnsi="仿宋" w:eastAsia="仿宋" w:cs="仿宋"/>
          <w:color w:val="auto"/>
          <w:sz w:val="32"/>
          <w:szCs w:val="32"/>
          <w:u w:val="none"/>
        </w:rPr>
        <w:t>1036人。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3.职业教育（高职扩招）</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2021年度共有职业教育（高职扩招）在校生456人（含本年度招录人数），同比增加27%。</w:t>
      </w: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表2-1</w:t>
      </w:r>
      <w:r>
        <w:rPr>
          <w:rFonts w:hint="eastAsia" w:ascii="仿宋" w:hAnsi="仿宋" w:eastAsia="仿宋" w:cs="仿宋"/>
          <w:color w:val="auto"/>
          <w:kern w:val="0"/>
          <w:sz w:val="28"/>
          <w:szCs w:val="28"/>
          <w:u w:val="none"/>
          <w:lang w:val="en-US" w:eastAsia="zh-CN"/>
        </w:rPr>
        <w:t xml:space="preserve"> </w:t>
      </w:r>
      <w:r>
        <w:rPr>
          <w:rFonts w:hint="eastAsia" w:ascii="仿宋" w:hAnsi="仿宋" w:eastAsia="仿宋" w:cs="仿宋"/>
          <w:color w:val="auto"/>
          <w:sz w:val="28"/>
          <w:szCs w:val="28"/>
          <w:u w:val="none"/>
        </w:rPr>
        <w:t>2021</w:t>
      </w:r>
      <w:r>
        <w:rPr>
          <w:rFonts w:hint="eastAsia" w:ascii="仿宋" w:hAnsi="仿宋" w:eastAsia="仿宋" w:cs="仿宋"/>
          <w:color w:val="auto"/>
          <w:kern w:val="0"/>
          <w:sz w:val="28"/>
          <w:szCs w:val="28"/>
          <w:u w:val="none"/>
        </w:rPr>
        <w:t>年度学历教育在籍（校）生人数</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251"/>
        <w:gridCol w:w="1438"/>
        <w:gridCol w:w="1900"/>
        <w:gridCol w:w="2024"/>
        <w:gridCol w:w="2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15" w:hRule="exact"/>
        </w:trPr>
        <w:tc>
          <w:tcPr>
            <w:tcW w:w="69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层次</w:t>
            </w:r>
          </w:p>
        </w:tc>
        <w:tc>
          <w:tcPr>
            <w:tcW w:w="80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类型</w:t>
            </w:r>
          </w:p>
        </w:tc>
        <w:tc>
          <w:tcPr>
            <w:tcW w:w="106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在籍（校）生人数</w:t>
            </w:r>
          </w:p>
        </w:tc>
        <w:tc>
          <w:tcPr>
            <w:tcW w:w="112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本年度</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招生人数</w:t>
            </w:r>
          </w:p>
        </w:tc>
        <w:tc>
          <w:tcPr>
            <w:tcW w:w="131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本年度</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9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本科</w:t>
            </w:r>
          </w:p>
        </w:tc>
        <w:tc>
          <w:tcPr>
            <w:tcW w:w="801"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开放本科</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3061</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1004</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98" w:type="pct"/>
            <w:vMerge w:val="restar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专科</w:t>
            </w:r>
          </w:p>
        </w:tc>
        <w:tc>
          <w:tcPr>
            <w:tcW w:w="801"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开放专科</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12832</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2523</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98" w:type="pct"/>
            <w:vMerge w:val="continue"/>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801"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成人专科</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b/>
                <w:bCs/>
                <w:color w:val="auto"/>
                <w:sz w:val="28"/>
                <w:szCs w:val="28"/>
                <w:u w:val="none"/>
              </w:rPr>
            </w:pPr>
            <w:r>
              <w:rPr>
                <w:rFonts w:hint="eastAsia" w:ascii="仿宋" w:hAnsi="仿宋" w:eastAsia="仿宋" w:cs="仿宋"/>
                <w:color w:val="auto"/>
                <w:sz w:val="28"/>
                <w:szCs w:val="28"/>
                <w:u w:val="none"/>
              </w:rPr>
              <w:t>1589</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115</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98" w:type="pct"/>
            <w:vMerge w:val="continue"/>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801"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高职扩招</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456</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88</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9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中专</w:t>
            </w:r>
          </w:p>
        </w:tc>
        <w:tc>
          <w:tcPr>
            <w:tcW w:w="801"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成人中专</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trPr>
        <w:tc>
          <w:tcPr>
            <w:tcW w:w="1500" w:type="pct"/>
            <w:gridSpan w:val="2"/>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合计</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17938</w:t>
            </w:r>
          </w:p>
        </w:tc>
        <w:tc>
          <w:tcPr>
            <w:tcW w:w="112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3730</w:t>
            </w:r>
          </w:p>
        </w:tc>
        <w:tc>
          <w:tcPr>
            <w:tcW w:w="13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500" w:type="pct"/>
            <w:gridSpan w:val="2"/>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106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112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131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ascii="楷体" w:hAnsi="楷体" w:eastAsia="楷体"/>
          <w:color w:val="auto"/>
          <w:sz w:val="32"/>
          <w:szCs w:val="32"/>
          <w:u w:val="none"/>
        </w:rPr>
      </w:pPr>
      <w:r>
        <w:rPr>
          <w:rFonts w:ascii="楷体" w:hAnsi="楷体" w:eastAsia="楷体"/>
          <w:color w:val="auto"/>
          <w:sz w:val="32"/>
          <w:szCs w:val="32"/>
          <w:u w:val="none"/>
        </w:rPr>
        <w:t>（二）非学历教育整体培养情况</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2021年度非学历继续教育项目5个，开设培训班41个班次，培训规模6万人次，</w:t>
      </w:r>
      <w:r>
        <w:rPr>
          <w:rFonts w:hint="eastAsia" w:ascii="仿宋" w:hAnsi="仿宋" w:eastAsia="仿宋" w:cs="仿宋"/>
          <w:color w:val="auto"/>
          <w:kern w:val="0"/>
          <w:sz w:val="32"/>
          <w:szCs w:val="32"/>
          <w:u w:val="none"/>
        </w:rPr>
        <w:t>同比增长</w:t>
      </w:r>
      <w:r>
        <w:rPr>
          <w:rFonts w:hint="eastAsia" w:ascii="仿宋" w:hAnsi="仿宋" w:eastAsia="仿宋" w:cs="仿宋"/>
          <w:color w:val="auto"/>
          <w:sz w:val="32"/>
          <w:szCs w:val="32"/>
          <w:u w:val="none"/>
        </w:rPr>
        <w:t>31.3</w:t>
      </w:r>
      <w:r>
        <w:rPr>
          <w:rFonts w:hint="eastAsia" w:ascii="仿宋" w:hAnsi="仿宋" w:eastAsia="仿宋" w:cs="仿宋"/>
          <w:color w:val="auto"/>
          <w:kern w:val="0"/>
          <w:sz w:val="32"/>
          <w:szCs w:val="32"/>
          <w:u w:val="none"/>
        </w:rPr>
        <w:t>%</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表2-2</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年度非学历教育情况</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722"/>
        <w:gridCol w:w="1309"/>
        <w:gridCol w:w="4596"/>
        <w:gridCol w:w="730"/>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序号</w:t>
            </w:r>
          </w:p>
        </w:tc>
        <w:tc>
          <w:tcPr>
            <w:tcW w:w="73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行业</w:t>
            </w:r>
          </w:p>
        </w:tc>
        <w:tc>
          <w:tcPr>
            <w:tcW w:w="256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培训对象</w:t>
            </w:r>
          </w:p>
        </w:tc>
        <w:tc>
          <w:tcPr>
            <w:tcW w:w="40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班次</w:t>
            </w:r>
          </w:p>
        </w:tc>
        <w:tc>
          <w:tcPr>
            <w:tcW w:w="89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73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社区教育</w:t>
            </w:r>
          </w:p>
        </w:tc>
        <w:tc>
          <w:tcPr>
            <w:tcW w:w="256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庆建党百年华诞，谱终身学习新篇</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73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老年教育</w:t>
            </w:r>
          </w:p>
        </w:tc>
        <w:tc>
          <w:tcPr>
            <w:tcW w:w="256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防范电信网络诈骗</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73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社区教育</w:t>
            </w:r>
          </w:p>
        </w:tc>
        <w:tc>
          <w:tcPr>
            <w:tcW w:w="256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全民阅读，送教进村</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w:t>
            </w:r>
          </w:p>
        </w:tc>
        <w:tc>
          <w:tcPr>
            <w:tcW w:w="73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老年教育</w:t>
            </w:r>
          </w:p>
        </w:tc>
        <w:tc>
          <w:tcPr>
            <w:tcW w:w="256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太极拳、广场舞、书法培训</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0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w:t>
            </w:r>
          </w:p>
        </w:tc>
        <w:tc>
          <w:tcPr>
            <w:tcW w:w="73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社区教育</w:t>
            </w:r>
          </w:p>
        </w:tc>
        <w:tc>
          <w:tcPr>
            <w:tcW w:w="256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健康讲座</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3697" w:type="pct"/>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合计</w:t>
            </w:r>
          </w:p>
        </w:tc>
        <w:tc>
          <w:tcPr>
            <w:tcW w:w="40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41</w:t>
            </w:r>
          </w:p>
        </w:tc>
        <w:tc>
          <w:tcPr>
            <w:tcW w:w="89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3697" w:type="pct"/>
            <w:gridSpan w:val="3"/>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40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89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ascii="楷体" w:hAnsi="楷体" w:eastAsia="楷体"/>
          <w:color w:val="auto"/>
          <w:sz w:val="32"/>
          <w:szCs w:val="32"/>
          <w:u w:val="none"/>
        </w:rPr>
      </w:pPr>
      <w:r>
        <w:rPr>
          <w:rFonts w:ascii="楷体" w:hAnsi="楷体" w:eastAsia="楷体"/>
          <w:color w:val="auto"/>
          <w:sz w:val="32"/>
          <w:szCs w:val="32"/>
          <w:u w:val="none"/>
        </w:rPr>
        <w:t>（三）学校专业设置情况</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kern w:val="0"/>
          <w:sz w:val="28"/>
          <w:szCs w:val="28"/>
          <w:u w:val="none"/>
        </w:rPr>
      </w:pPr>
      <w:r>
        <w:rPr>
          <w:rFonts w:hint="eastAsia" w:ascii="仿宋" w:hAnsi="仿宋" w:eastAsia="仿宋" w:cs="仿宋"/>
          <w:color w:val="auto"/>
          <w:sz w:val="32"/>
          <w:szCs w:val="32"/>
          <w:u w:val="none"/>
        </w:rPr>
        <w:t>2021年度招收开放教育本、专科专业共31个，持续不变。其中，本科12个，占比39%；专科19个，占比61%。2021年度招收职业教育（高职扩招）专业共2个。</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 xml:space="preserve">表2-3-1 </w:t>
      </w:r>
      <w:r>
        <w:rPr>
          <w:rFonts w:hint="eastAsia" w:ascii="仿宋" w:hAnsi="仿宋" w:eastAsia="仿宋" w:cs="仿宋"/>
          <w:color w:val="auto"/>
          <w:sz w:val="28"/>
          <w:szCs w:val="28"/>
          <w:u w:val="none"/>
        </w:rPr>
        <w:t>2021</w:t>
      </w:r>
      <w:r>
        <w:rPr>
          <w:rFonts w:hint="eastAsia" w:ascii="仿宋" w:hAnsi="仿宋" w:eastAsia="仿宋" w:cs="仿宋"/>
          <w:color w:val="auto"/>
          <w:kern w:val="0"/>
          <w:sz w:val="28"/>
          <w:szCs w:val="28"/>
          <w:u w:val="none"/>
        </w:rPr>
        <w:t>年度开放教育招生规模排名前五位的本科专业</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3520"/>
        <w:gridCol w:w="3089"/>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行政管理</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271</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土木工程</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186</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法学</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142</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工商管理</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82</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汉语言文学</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81</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表2-3-2</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年度开放教育招生规模排名前五位的专科专业</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3520"/>
        <w:gridCol w:w="3089"/>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行政管理</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738</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建筑工程技术</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479</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工商管理</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156</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法律事务</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146</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学前教育</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136</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表2-3-3</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年度职业教育（</w:t>
      </w:r>
      <w:r>
        <w:rPr>
          <w:rFonts w:hint="eastAsia" w:ascii="仿宋" w:hAnsi="仿宋" w:eastAsia="仿宋" w:cs="仿宋"/>
          <w:color w:val="auto"/>
          <w:kern w:val="0"/>
          <w:sz w:val="28"/>
          <w:szCs w:val="28"/>
          <w:u w:val="none"/>
          <w:lang w:val="en-US" w:eastAsia="zh-CN"/>
        </w:rPr>
        <w:t>高职</w:t>
      </w:r>
      <w:r>
        <w:rPr>
          <w:rFonts w:hint="eastAsia" w:ascii="仿宋" w:hAnsi="仿宋" w:eastAsia="仿宋" w:cs="仿宋"/>
          <w:color w:val="auto"/>
          <w:kern w:val="0"/>
          <w:sz w:val="28"/>
          <w:szCs w:val="28"/>
          <w:u w:val="none"/>
        </w:rPr>
        <w:t>扩招）招收专业</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3520"/>
        <w:gridCol w:w="3089"/>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大数据会计</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87</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1964"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园林技术</w:t>
            </w:r>
          </w:p>
        </w:tc>
        <w:tc>
          <w:tcPr>
            <w:tcW w:w="172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36</w:t>
            </w:r>
          </w:p>
        </w:tc>
        <w:tc>
          <w:tcPr>
            <w:tcW w:w="131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snapToGrid w:val="0"/>
              <w:spacing w:line="36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29.3</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ascii="楷体" w:hAnsi="楷体" w:eastAsia="楷体"/>
          <w:color w:val="auto"/>
          <w:sz w:val="32"/>
          <w:szCs w:val="32"/>
          <w:u w:val="none"/>
        </w:rPr>
      </w:pPr>
      <w:r>
        <w:rPr>
          <w:rFonts w:ascii="楷体" w:hAnsi="楷体" w:eastAsia="楷体"/>
          <w:color w:val="auto"/>
          <w:sz w:val="32"/>
          <w:szCs w:val="32"/>
          <w:u w:val="none"/>
        </w:rPr>
        <w:t>（四）质量提升综治工程</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仿宋" w:hAnsi="仿宋" w:eastAsia="仿宋" w:cs="仿宋"/>
          <w:color w:val="auto"/>
          <w:sz w:val="32"/>
          <w:szCs w:val="32"/>
          <w:u w:val="none"/>
        </w:rPr>
      </w:pPr>
      <w:r>
        <w:rPr>
          <w:rFonts w:ascii="仿宋" w:hAnsi="仿宋" w:eastAsia="仿宋"/>
          <w:color w:val="auto"/>
          <w:sz w:val="32"/>
          <w:szCs w:val="32"/>
          <w:u w:val="none"/>
        </w:rPr>
        <w:t xml:space="preserve">    </w:t>
      </w:r>
      <w:r>
        <w:rPr>
          <w:rFonts w:hint="eastAsia" w:ascii="仿宋" w:hAnsi="仿宋" w:eastAsia="仿宋" w:cs="仿宋"/>
          <w:color w:val="auto"/>
          <w:sz w:val="32"/>
          <w:szCs w:val="32"/>
          <w:u w:val="none"/>
        </w:rPr>
        <w:t>1.质量保障制度</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left"/>
        <w:textAlignment w:val="auto"/>
        <w:rPr>
          <w:rFonts w:ascii="仿宋" w:hAnsi="仿宋" w:eastAsia="仿宋"/>
          <w:color w:val="auto"/>
          <w:sz w:val="32"/>
          <w:szCs w:val="32"/>
          <w:u w:val="none"/>
        </w:rPr>
      </w:pPr>
      <w:r>
        <w:rPr>
          <w:rFonts w:hint="eastAsia" w:ascii="仿宋" w:hAnsi="仿宋" w:eastAsia="仿宋" w:cs="仿宋"/>
          <w:color w:val="auto"/>
          <w:sz w:val="32"/>
          <w:szCs w:val="32"/>
          <w:u w:val="none"/>
        </w:rPr>
        <w:t>2021年度建立健全校内质量管理制度8项。</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表2-4-1 2021年度重要规章制度建设情况</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924"/>
        <w:gridCol w:w="1788"/>
        <w:gridCol w:w="6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序号</w:t>
            </w:r>
          </w:p>
        </w:tc>
        <w:tc>
          <w:tcPr>
            <w:tcW w:w="99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类别</w:t>
            </w:r>
          </w:p>
        </w:tc>
        <w:tc>
          <w:tcPr>
            <w:tcW w:w="348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教学管理</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w:t>
            </w:r>
            <w:r>
              <w:rPr>
                <w:rFonts w:hint="eastAsia" w:ascii="仿宋" w:hAnsi="仿宋" w:eastAsia="仿宋" w:cs="仿宋"/>
                <w:color w:val="auto"/>
                <w:sz w:val="28"/>
                <w:szCs w:val="28"/>
                <w:u w:val="none"/>
                <w:lang w:eastAsia="zh-CN"/>
              </w:rPr>
              <w:t>电大</w:t>
            </w:r>
            <w:r>
              <w:rPr>
                <w:rFonts w:hint="eastAsia" w:ascii="仿宋" w:hAnsi="仿宋" w:eastAsia="仿宋" w:cs="仿宋"/>
                <w:color w:val="auto"/>
                <w:sz w:val="28"/>
                <w:szCs w:val="28"/>
                <w:u w:val="none"/>
              </w:rPr>
              <w:t>开放教育质量提升综合治理工程工作方案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教学管理</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关于进一步加强教学管理，提高教学质量的若干意见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综合</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w:t>
            </w:r>
            <w:r>
              <w:rPr>
                <w:rFonts w:hint="eastAsia" w:ascii="仿宋" w:hAnsi="仿宋" w:eastAsia="仿宋" w:cs="仿宋"/>
                <w:color w:val="auto"/>
                <w:sz w:val="28"/>
                <w:szCs w:val="28"/>
                <w:u w:val="none"/>
                <w:lang w:eastAsia="zh-CN"/>
              </w:rPr>
              <w:t>电大</w:t>
            </w:r>
            <w:r>
              <w:rPr>
                <w:rFonts w:hint="eastAsia" w:ascii="仿宋" w:hAnsi="仿宋" w:eastAsia="仿宋" w:cs="仿宋"/>
                <w:color w:val="auto"/>
                <w:sz w:val="28"/>
                <w:szCs w:val="28"/>
                <w:u w:val="none"/>
              </w:rPr>
              <w:t>“治招”、“治学”、“治考”措施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考务</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上饶开大监考教师职责补充规定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科研</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上饶广播电视大学科研项目管理办法（修正）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党务</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kern w:val="0"/>
                <w:sz w:val="28"/>
                <w:szCs w:val="28"/>
                <w:u w:val="none"/>
              </w:rPr>
              <w:t>上饶</w:t>
            </w:r>
            <w:r>
              <w:rPr>
                <w:rFonts w:hint="eastAsia" w:ascii="仿宋" w:hAnsi="仿宋" w:eastAsia="仿宋" w:cs="仿宋"/>
                <w:color w:val="auto"/>
                <w:kern w:val="0"/>
                <w:sz w:val="28"/>
                <w:szCs w:val="28"/>
                <w:u w:val="none"/>
                <w:lang w:eastAsia="zh-CN"/>
              </w:rPr>
              <w:t>电大</w:t>
            </w:r>
            <w:r>
              <w:rPr>
                <w:rFonts w:hint="eastAsia" w:ascii="仿宋" w:hAnsi="仿宋" w:eastAsia="仿宋" w:cs="仿宋"/>
                <w:color w:val="auto"/>
                <w:kern w:val="0"/>
                <w:sz w:val="28"/>
                <w:szCs w:val="28"/>
                <w:u w:val="none"/>
              </w:rPr>
              <w:t>党委2021年落实意识形态工作责任制工作计划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党务</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上饶广播电视大学党史学习教育活动实施方案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51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99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党政</w:t>
            </w:r>
          </w:p>
        </w:tc>
        <w:tc>
          <w:tcPr>
            <w:tcW w:w="348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上饶广播电视大学关于推进廉洁校园建设的实施方案</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2.办学体系和招生管理</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上饶</w:t>
      </w:r>
      <w:r>
        <w:rPr>
          <w:rFonts w:hint="eastAsia" w:ascii="仿宋" w:hAnsi="仿宋" w:eastAsia="仿宋" w:cs="仿宋"/>
          <w:color w:val="auto"/>
          <w:sz w:val="32"/>
          <w:szCs w:val="32"/>
          <w:u w:val="none"/>
        </w:rPr>
        <w:t>市共辖3个市辖区、1个县级市、8个县。截至2021年12月，</w:t>
      </w:r>
      <w:r>
        <w:rPr>
          <w:rFonts w:hint="eastAsia" w:ascii="仿宋" w:hAnsi="仿宋" w:eastAsia="仿宋" w:cs="仿宋"/>
          <w:color w:val="auto"/>
          <w:sz w:val="32"/>
          <w:szCs w:val="32"/>
          <w:u w:val="none"/>
          <w:lang w:val="en-US" w:eastAsia="zh-CN"/>
        </w:rPr>
        <w:t>学</w:t>
      </w:r>
      <w:r>
        <w:rPr>
          <w:rFonts w:hint="eastAsia" w:ascii="仿宋" w:hAnsi="仿宋" w:eastAsia="仿宋" w:cs="仿宋"/>
          <w:color w:val="auto"/>
          <w:sz w:val="32"/>
          <w:szCs w:val="32"/>
          <w:u w:val="none"/>
        </w:rPr>
        <w:t>校所辖县级机构覆盖2个市辖区、1个县级市、8个县。所辖县级机构包含11个开放学院（11个已招生办学）。2021年度学习中心无新增无撤销。</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2021年度所辖县级机构共招收学生2004人，占全市招生的57%。其中，9个县级机构招收学生100人以上。</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县级机构管理工作主要体现在：以开放教育作为主要办学形式，系统办学的观念明确，严格依法办学，严格遵守各级教育行政管理部门及上级开大的各项规章制度，按照国家开放大学及</w:t>
      </w:r>
      <w:r>
        <w:rPr>
          <w:rFonts w:hint="eastAsia" w:ascii="仿宋" w:hAnsi="仿宋" w:eastAsia="仿宋" w:cs="仿宋"/>
          <w:color w:val="auto"/>
          <w:sz w:val="32"/>
          <w:szCs w:val="32"/>
          <w:u w:val="none"/>
          <w:lang w:val="en-US" w:eastAsia="zh-CN"/>
        </w:rPr>
        <w:t>省校</w:t>
      </w:r>
      <w:r>
        <w:rPr>
          <w:rFonts w:hint="eastAsia" w:ascii="仿宋" w:hAnsi="仿宋" w:eastAsia="仿宋" w:cs="仿宋"/>
          <w:color w:val="auto"/>
          <w:sz w:val="32"/>
          <w:szCs w:val="32"/>
          <w:u w:val="none"/>
        </w:rPr>
        <w:t>的规定开展招生、教学、考务、学籍等管理工作。业务直接接受市开大的指导。</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招生管理工作主要体现在：坚持每年按照各县（市、区）人口总数比例及近几年来各县市</w:t>
      </w:r>
      <w:r>
        <w:rPr>
          <w:rFonts w:hint="eastAsia" w:ascii="仿宋" w:hAnsi="仿宋" w:eastAsia="仿宋" w:cs="仿宋"/>
          <w:color w:val="auto"/>
          <w:sz w:val="32"/>
          <w:szCs w:val="32"/>
          <w:u w:val="none"/>
          <w:lang w:eastAsia="zh-CN"/>
        </w:rPr>
        <w:t>学习中心</w:t>
      </w:r>
      <w:r>
        <w:rPr>
          <w:rFonts w:hint="eastAsia" w:ascii="仿宋" w:hAnsi="仿宋" w:eastAsia="仿宋" w:cs="仿宋"/>
          <w:color w:val="auto"/>
          <w:sz w:val="32"/>
          <w:szCs w:val="32"/>
          <w:u w:val="none"/>
        </w:rPr>
        <w:t>实际招生情况制定招生计划，每年能按时向省开大提交开放教育专、本科的招生计划，并在省开大下发招生计划后，按照各个学习中心的实际需求及时、准确的下发、上报并追加部分招生计划，坚持保障全市招生工作的顺利进行。</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能严格按国开、省校的相关规定做好招生管理工作。在各类媒体开展招生宣传工作，制作招生简章，张贴国家开放大学、省开大下发的海报，及时给学生分发由省开大印制的招生宣传小册子。全市不存在违规招生情况，坚持规范招生，规范办学，不存在瞒报或提供虚假办学信息，违规承诺的情况。</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严把新生入学资格审核关。毕业证书复印件或学历证明材料原件与复印件、有效身份证件复印件、医学类专业执业资格证书和在职在岗证明材料、外省生源当地常住或工作相关证明材料，以及其他信息修改证明等材料均须有新生、经办人和审核老师的签字确认。新生及经办人均在《报名登记表》（含入学资格承诺书）上签字确认，审核人签字并写明学习中心审核意见。对所辖学习中心首审通过的学生材料严格执行“双审制”，有2人审核签字并盖章，2021年度学校招生工作中没有任何不符合规范的问题。</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3.信息化和教学资源建设</w:t>
      </w:r>
    </w:p>
    <w:p>
      <w:pPr>
        <w:pStyle w:val="2"/>
        <w:keepNext w:val="0"/>
        <w:keepLines w:val="0"/>
        <w:pageBreakBefore w:val="0"/>
        <w:widowControl w:val="0"/>
        <w:kinsoku/>
        <w:wordWrap/>
        <w:overflowPunct/>
        <w:topLinePunct w:val="0"/>
        <w:autoSpaceDE/>
        <w:autoSpaceDN/>
        <w:bidi w:val="0"/>
        <w:adjustRightInd/>
        <w:spacing w:after="0" w:line="500" w:lineRule="exact"/>
        <w:ind w:firstLine="640" w:firstLineChars="200"/>
        <w:textAlignment w:val="auto"/>
        <w:rPr>
          <w:rFonts w:hint="eastAsia" w:ascii="仿宋" w:hAnsi="仿宋" w:eastAsia="仿宋" w:cs="仿宋"/>
          <w:bCs/>
          <w:color w:val="auto"/>
          <w:kern w:val="0"/>
          <w:sz w:val="32"/>
          <w:szCs w:val="32"/>
          <w:u w:val="none"/>
        </w:rPr>
      </w:pPr>
      <w:r>
        <w:rPr>
          <w:rFonts w:hint="eastAsia" w:ascii="仿宋" w:hAnsi="仿宋" w:eastAsia="仿宋" w:cs="仿宋"/>
          <w:bCs/>
          <w:color w:val="auto"/>
          <w:kern w:val="0"/>
          <w:sz w:val="32"/>
          <w:szCs w:val="32"/>
          <w:u w:val="none"/>
        </w:rPr>
        <w:t>校本部</w:t>
      </w:r>
      <w:r>
        <w:rPr>
          <w:rFonts w:hint="eastAsia" w:ascii="仿宋" w:hAnsi="仿宋" w:eastAsia="仿宋" w:cs="仿宋"/>
          <w:bCs/>
          <w:color w:val="auto"/>
          <w:sz w:val="32"/>
          <w:szCs w:val="32"/>
          <w:u w:val="none"/>
        </w:rPr>
        <w:t>校园网络内均为千兆上桌面，校园内实现WiFi全覆盖</w:t>
      </w:r>
      <w:r>
        <w:rPr>
          <w:rFonts w:hint="eastAsia" w:ascii="仿宋" w:hAnsi="仿宋" w:eastAsia="仿宋" w:cs="仿宋"/>
          <w:bCs/>
          <w:color w:val="auto"/>
          <w:kern w:val="0"/>
          <w:sz w:val="32"/>
          <w:szCs w:val="32"/>
          <w:u w:val="none"/>
        </w:rPr>
        <w:t>，有三间</w:t>
      </w:r>
      <w:r>
        <w:rPr>
          <w:rFonts w:hint="eastAsia" w:ascii="仿宋" w:hAnsi="仿宋" w:eastAsia="仿宋" w:cs="仿宋"/>
          <w:bCs/>
          <w:color w:val="auto"/>
          <w:sz w:val="32"/>
          <w:szCs w:val="32"/>
          <w:u w:val="none"/>
        </w:rPr>
        <w:t>机房共156台计算机及服务器用于教学与考试。</w:t>
      </w:r>
      <w:r>
        <w:rPr>
          <w:rFonts w:hint="eastAsia" w:ascii="仿宋" w:hAnsi="仿宋" w:eastAsia="仿宋" w:cs="仿宋"/>
          <w:bCs/>
          <w:color w:val="auto"/>
          <w:kern w:val="0"/>
          <w:sz w:val="32"/>
          <w:szCs w:val="32"/>
          <w:u w:val="none"/>
        </w:rPr>
        <w:t>所辖县（市、区）学习中心均在信息化建设方面满足开放教育的办学要求。校本部</w:t>
      </w:r>
      <w:r>
        <w:rPr>
          <w:rFonts w:hint="eastAsia" w:ascii="仿宋" w:hAnsi="仿宋" w:eastAsia="仿宋" w:cs="仿宋"/>
          <w:bCs/>
          <w:color w:val="auto"/>
          <w:sz w:val="32"/>
          <w:szCs w:val="32"/>
          <w:u w:val="none"/>
        </w:rPr>
        <w:t>年度教材总征订数10400册。</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4.学习支持服务和教学过程</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（1）修改、完善教学制度及文件</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u w:val="none"/>
        </w:rPr>
      </w:pPr>
      <w:r>
        <w:rPr>
          <w:rFonts w:hint="eastAsia" w:ascii="仿宋" w:hAnsi="仿宋" w:eastAsia="仿宋" w:cs="仿宋"/>
          <w:bCs/>
          <w:color w:val="auto"/>
          <w:sz w:val="32"/>
          <w:szCs w:val="32"/>
          <w:u w:val="none"/>
        </w:rPr>
        <w:t>学校专门制定以下教学制度、文件及教学通知：《关于进一步加强教学管理，提高教学质量的若干意见》《关于加强作风建设营造优良发展环境的实施方案》《关于开放教育2021年度秋季学期疫情防控、学生停课期间的网络教学工作的通知》《关于21春、秋学期开放教育新生入学教育活动安排的通知》《上饶广播电视大学开放教育质量提升综合治理工程工作方案</w:t>
      </w:r>
      <w:r>
        <w:rPr>
          <w:rFonts w:hint="eastAsia" w:ascii="仿宋" w:hAnsi="仿宋" w:eastAsia="仿宋" w:cs="仿宋"/>
          <w:bCs/>
          <w:color w:val="auto"/>
          <w:sz w:val="32"/>
          <w:szCs w:val="32"/>
          <w:u w:val="none"/>
          <w:lang w:eastAsia="zh-CN"/>
        </w:rPr>
        <w:t>（</w:t>
      </w:r>
      <w:r>
        <w:rPr>
          <w:rFonts w:hint="eastAsia" w:ascii="仿宋" w:hAnsi="仿宋" w:eastAsia="仿宋" w:cs="仿宋"/>
          <w:bCs/>
          <w:color w:val="auto"/>
          <w:sz w:val="32"/>
          <w:szCs w:val="32"/>
          <w:u w:val="none"/>
        </w:rPr>
        <w:t>试行）》。</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u w:val="none"/>
        </w:rPr>
      </w:pPr>
      <w:r>
        <w:rPr>
          <w:rFonts w:hint="eastAsia" w:ascii="仿宋" w:hAnsi="仿宋" w:eastAsia="仿宋" w:cs="仿宋"/>
          <w:bCs/>
          <w:color w:val="auto"/>
          <w:sz w:val="32"/>
          <w:szCs w:val="32"/>
          <w:u w:val="none"/>
        </w:rPr>
        <w:t>（2）落实面授教学</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u w:val="none"/>
        </w:rPr>
      </w:pPr>
      <w:r>
        <w:rPr>
          <w:rFonts w:hint="eastAsia" w:ascii="仿宋" w:hAnsi="仿宋" w:eastAsia="仿宋" w:cs="仿宋"/>
          <w:bCs/>
          <w:color w:val="auto"/>
          <w:sz w:val="32"/>
          <w:szCs w:val="32"/>
          <w:u w:val="none"/>
        </w:rPr>
        <w:t>根据教学需要，排出面授课课程安排时间。通过教师和学生签到，约束学生的上课比例。校本部安排面授课79科，占所开课程的29%。担任面授的有31位教师。</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u w:val="none"/>
        </w:rPr>
      </w:pPr>
      <w:r>
        <w:rPr>
          <w:rFonts w:hint="eastAsia" w:ascii="仿宋" w:hAnsi="仿宋" w:eastAsia="仿宋" w:cs="仿宋"/>
          <w:bCs/>
          <w:color w:val="auto"/>
          <w:sz w:val="32"/>
          <w:szCs w:val="32"/>
          <w:u w:val="none"/>
        </w:rPr>
        <w:t>以下为2021年春、秋季学期校本部课程表：</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bCs/>
          <w:color w:val="auto"/>
          <w:sz w:val="32"/>
          <w:szCs w:val="32"/>
          <w:u w:val="none"/>
          <w:lang w:eastAsia="zh-CN"/>
        </w:rPr>
      </w:pPr>
      <w:r>
        <w:rPr>
          <w:rFonts w:hint="eastAsia" w:ascii="仿宋" w:hAnsi="仿宋" w:eastAsia="仿宋"/>
          <w:bCs/>
          <w:color w:val="auto"/>
          <w:sz w:val="32"/>
          <w:szCs w:val="32"/>
          <w:u w:val="none"/>
          <w:lang w:eastAsia="zh-CN"/>
        </w:rPr>
        <w:drawing>
          <wp:inline distT="0" distB="0" distL="114300" distR="114300">
            <wp:extent cx="5629275" cy="6420485"/>
            <wp:effectExtent l="0" t="0" r="9525" b="18415"/>
            <wp:docPr id="6" name="图片 6" descr="16538812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3881272(1)"/>
                    <pic:cNvPicPr>
                      <a:picLocks noChangeAspect="1"/>
                    </pic:cNvPicPr>
                  </pic:nvPicPr>
                  <pic:blipFill>
                    <a:blip r:embed="rId5"/>
                    <a:stretch>
                      <a:fillRect/>
                    </a:stretch>
                  </pic:blipFill>
                  <pic:spPr>
                    <a:xfrm>
                      <a:off x="0" y="0"/>
                      <a:ext cx="5629275" cy="6420485"/>
                    </a:xfrm>
                    <a:prstGeom prst="rect">
                      <a:avLst/>
                    </a:prstGeom>
                  </pic:spPr>
                </pic:pic>
              </a:graphicData>
            </a:graphic>
          </wp:inline>
        </w:drawing>
      </w:r>
    </w:p>
    <w:p>
      <w:pPr>
        <w:rPr>
          <w:rFonts w:hint="eastAsia" w:ascii="仿宋" w:hAnsi="仿宋" w:eastAsia="仿宋"/>
          <w:color w:val="auto"/>
          <w:sz w:val="32"/>
          <w:szCs w:val="32"/>
          <w:u w:val="none"/>
        </w:rPr>
      </w:pPr>
      <w:r>
        <w:rPr>
          <w:color w:val="auto"/>
          <w:u w:val="none"/>
        </w:rPr>
        <w:drawing>
          <wp:inline distT="0" distB="0" distL="0" distR="0">
            <wp:extent cx="5619115" cy="8027670"/>
            <wp:effectExtent l="0" t="0" r="63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619115" cy="80276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（3）抓实网上教学</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pacing w:val="-2"/>
          <w:w w:val="99"/>
          <w:sz w:val="32"/>
          <w:szCs w:val="32"/>
          <w:u w:val="none"/>
        </w:rPr>
      </w:pPr>
      <w:r>
        <w:rPr>
          <w:rFonts w:hint="eastAsia" w:ascii="仿宋" w:hAnsi="仿宋" w:eastAsia="仿宋"/>
          <w:color w:val="auto"/>
          <w:sz w:val="32"/>
          <w:szCs w:val="32"/>
          <w:u w:val="none"/>
        </w:rPr>
        <w:t>针对网上教学工作，</w:t>
      </w:r>
      <w:r>
        <w:rPr>
          <w:rFonts w:ascii="仿宋" w:hAnsi="仿宋" w:eastAsia="仿宋"/>
          <w:color w:val="auto"/>
          <w:sz w:val="32"/>
          <w:szCs w:val="32"/>
          <w:u w:val="none"/>
        </w:rPr>
        <w:t>加强国开学习网网上教学督导工作</w:t>
      </w:r>
      <w:r>
        <w:rPr>
          <w:rFonts w:hint="eastAsia" w:ascii="仿宋" w:hAnsi="仿宋" w:eastAsia="仿宋"/>
          <w:color w:val="auto"/>
          <w:sz w:val="32"/>
          <w:szCs w:val="32"/>
          <w:u w:val="none"/>
        </w:rPr>
        <w:t>，</w:t>
      </w:r>
      <w:r>
        <w:rPr>
          <w:rFonts w:ascii="仿宋" w:hAnsi="仿宋" w:eastAsia="仿宋"/>
          <w:color w:val="auto"/>
          <w:spacing w:val="-2"/>
          <w:w w:val="99"/>
          <w:sz w:val="32"/>
          <w:szCs w:val="32"/>
          <w:u w:val="none"/>
        </w:rPr>
        <w:t>严格按照省校通知执行</w:t>
      </w:r>
      <w:r>
        <w:rPr>
          <w:rFonts w:hint="eastAsia" w:ascii="仿宋" w:hAnsi="仿宋" w:eastAsia="仿宋"/>
          <w:color w:val="auto"/>
          <w:spacing w:val="-2"/>
          <w:w w:val="99"/>
          <w:sz w:val="32"/>
          <w:szCs w:val="32"/>
          <w:u w:val="none"/>
        </w:rPr>
        <w:t>，</w:t>
      </w:r>
      <w:r>
        <w:rPr>
          <w:rFonts w:ascii="仿宋" w:hAnsi="仿宋" w:eastAsia="仿宋"/>
          <w:color w:val="auto"/>
          <w:spacing w:val="-2"/>
          <w:w w:val="99"/>
          <w:sz w:val="32"/>
          <w:szCs w:val="32"/>
          <w:u w:val="none"/>
        </w:rPr>
        <w:t>着重检查学习网的选课率</w:t>
      </w:r>
      <w:r>
        <w:rPr>
          <w:rFonts w:hint="eastAsia" w:ascii="仿宋" w:hAnsi="仿宋" w:eastAsia="仿宋"/>
          <w:color w:val="auto"/>
          <w:spacing w:val="-2"/>
          <w:w w:val="99"/>
          <w:sz w:val="32"/>
          <w:szCs w:val="32"/>
          <w:u w:val="none"/>
        </w:rPr>
        <w:t>、生师比、上线学生比例、上线教师比例等。按照省校通知要求，网络课程都配置了辅导教师，班主任负责通知本班学生按照开放教育教学基本要求浏览网上资源，完成网上学习任务，每门课程在线学习行为次数不少于100次，选择网上自主学习的学生网上学习时间每学期不低于32天，参加面授的学生网上学习时间每学期不低于16天，每门课程的提问发帖总数不低于3条等网上教学要求。</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（4）重视实践教学</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严格按照省校的通知，布置社会实践、实训、毕业论文工作：安排相应的实践环节指导老师，引导学生正确选题，明确论文写作条例、规范，注重质量要求，认真填写论文指导进度表，及时指出学生在撰写论文中存在的问题和不足，对有抄袭现象的及时加以纠正。</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（5）开展教学检查</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及时把省校教学检查工作通知转发给下面的11个县（市、区）学习中心，每年开展对校本部及学习中心的教学检查工作，形成自检报告，抽查形成性考核的落实情况，并把检查情况公布于众。</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表2-4-4-1</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年度国开学习网教学基本情况</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303"/>
        <w:gridCol w:w="1404"/>
        <w:gridCol w:w="1900"/>
        <w:gridCol w:w="1952"/>
        <w:gridCol w:w="2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75" w:hRule="exact"/>
        </w:trPr>
        <w:tc>
          <w:tcPr>
            <w:tcW w:w="72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78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生师比</w:t>
            </w:r>
          </w:p>
        </w:tc>
        <w:tc>
          <w:tcPr>
            <w:tcW w:w="106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上线学生比例</w:t>
            </w:r>
          </w:p>
        </w:tc>
        <w:tc>
          <w:tcPr>
            <w:tcW w:w="108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上线教师比例</w:t>
            </w:r>
          </w:p>
        </w:tc>
        <w:tc>
          <w:tcPr>
            <w:tcW w:w="133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27"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78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61.77</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108.06</w:t>
            </w:r>
          </w:p>
        </w:tc>
        <w:tc>
          <w:tcPr>
            <w:tcW w:w="108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64.29</w:t>
            </w:r>
          </w:p>
        </w:tc>
        <w:tc>
          <w:tcPr>
            <w:tcW w:w="133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2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78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106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1（并列）</w:t>
            </w:r>
          </w:p>
        </w:tc>
        <w:tc>
          <w:tcPr>
            <w:tcW w:w="108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w:t>
            </w:r>
          </w:p>
        </w:tc>
        <w:tc>
          <w:tcPr>
            <w:tcW w:w="133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27"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78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55.30</w:t>
            </w:r>
          </w:p>
        </w:tc>
        <w:tc>
          <w:tcPr>
            <w:tcW w:w="106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106.32</w:t>
            </w:r>
          </w:p>
        </w:tc>
        <w:tc>
          <w:tcPr>
            <w:tcW w:w="108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46.85</w:t>
            </w:r>
          </w:p>
        </w:tc>
        <w:tc>
          <w:tcPr>
            <w:tcW w:w="133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2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78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106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1（并列）</w:t>
            </w:r>
          </w:p>
        </w:tc>
        <w:tc>
          <w:tcPr>
            <w:tcW w:w="108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11</w:t>
            </w:r>
          </w:p>
        </w:tc>
        <w:tc>
          <w:tcPr>
            <w:tcW w:w="133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2-4-4-2</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年度国开学习网教学支持服务情况</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793"/>
        <w:gridCol w:w="1485"/>
        <w:gridCol w:w="1380"/>
        <w:gridCol w:w="1590"/>
        <w:gridCol w:w="975"/>
        <w:gridCol w:w="109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35" w:hRule="exact"/>
        </w:trPr>
        <w:tc>
          <w:tcPr>
            <w:tcW w:w="44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82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学生行</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为总数</w:t>
            </w:r>
          </w:p>
        </w:tc>
        <w:tc>
          <w:tcPr>
            <w:tcW w:w="76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学生在</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线天数</w:t>
            </w:r>
          </w:p>
        </w:tc>
        <w:tc>
          <w:tcPr>
            <w:tcW w:w="88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学生人均在线行为次数</w:t>
            </w:r>
          </w:p>
        </w:tc>
        <w:tc>
          <w:tcPr>
            <w:tcW w:w="54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教师行</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为总数</w:t>
            </w:r>
          </w:p>
        </w:tc>
        <w:tc>
          <w:tcPr>
            <w:tcW w:w="61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教师在</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线天数</w:t>
            </w:r>
          </w:p>
        </w:tc>
        <w:tc>
          <w:tcPr>
            <w:tcW w:w="91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教师人均在线行为次数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4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82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13582283</w:t>
            </w:r>
          </w:p>
        </w:tc>
        <w:tc>
          <w:tcPr>
            <w:tcW w:w="76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90480</w:t>
            </w:r>
          </w:p>
        </w:tc>
        <w:tc>
          <w:tcPr>
            <w:tcW w:w="886"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1389.92</w:t>
            </w:r>
          </w:p>
        </w:tc>
        <w:tc>
          <w:tcPr>
            <w:tcW w:w="54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467040</w:t>
            </w:r>
          </w:p>
        </w:tc>
        <w:tc>
          <w:tcPr>
            <w:tcW w:w="6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3349</w:t>
            </w:r>
          </w:p>
        </w:tc>
        <w:tc>
          <w:tcPr>
            <w:tcW w:w="91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2882.96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4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82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76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88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54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61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91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4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82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12074709</w:t>
            </w:r>
          </w:p>
        </w:tc>
        <w:tc>
          <w:tcPr>
            <w:tcW w:w="769"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88727</w:t>
            </w:r>
          </w:p>
        </w:tc>
        <w:tc>
          <w:tcPr>
            <w:tcW w:w="886"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1287.97</w:t>
            </w:r>
          </w:p>
        </w:tc>
        <w:tc>
          <w:tcPr>
            <w:tcW w:w="54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350657</w:t>
            </w:r>
          </w:p>
        </w:tc>
        <w:tc>
          <w:tcPr>
            <w:tcW w:w="61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3264</w:t>
            </w:r>
          </w:p>
        </w:tc>
        <w:tc>
          <w:tcPr>
            <w:tcW w:w="918"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2946.70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44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82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76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w:t>
            </w:r>
          </w:p>
        </w:tc>
        <w:tc>
          <w:tcPr>
            <w:tcW w:w="88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11</w:t>
            </w:r>
          </w:p>
        </w:tc>
        <w:tc>
          <w:tcPr>
            <w:tcW w:w="54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61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91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表2-4-4-3</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年度开放教育面授教学基本情况</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385"/>
        <w:gridCol w:w="2410"/>
        <w:gridCol w:w="5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7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134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面授辅导课次</w:t>
            </w:r>
          </w:p>
        </w:tc>
        <w:tc>
          <w:tcPr>
            <w:tcW w:w="288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1344"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40</w:t>
            </w:r>
          </w:p>
        </w:tc>
        <w:tc>
          <w:tcPr>
            <w:tcW w:w="2881"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77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1344"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55</w:t>
            </w:r>
          </w:p>
        </w:tc>
        <w:tc>
          <w:tcPr>
            <w:tcW w:w="2881"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65%</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表2-4-4-4</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年度开放教育实践教学情况</w:t>
      </w: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229"/>
        <w:gridCol w:w="2629"/>
        <w:gridCol w:w="2537"/>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8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1466"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实践基地新增数量</w:t>
            </w:r>
          </w:p>
        </w:tc>
        <w:tc>
          <w:tcPr>
            <w:tcW w:w="141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实践基地总数</w:t>
            </w:r>
          </w:p>
        </w:tc>
        <w:tc>
          <w:tcPr>
            <w:tcW w:w="143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8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146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41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51</w:t>
            </w:r>
          </w:p>
        </w:tc>
        <w:tc>
          <w:tcPr>
            <w:tcW w:w="1432"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8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1466"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415"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51</w:t>
            </w:r>
          </w:p>
        </w:tc>
        <w:tc>
          <w:tcPr>
            <w:tcW w:w="1432"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82</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ascii="仿宋" w:hAnsi="仿宋" w:eastAsia="仿宋"/>
          <w:color w:val="auto"/>
          <w:sz w:val="32"/>
          <w:szCs w:val="32"/>
          <w:u w:val="none"/>
        </w:rPr>
      </w:pPr>
      <w:r>
        <w:rPr>
          <w:rFonts w:ascii="仿宋" w:hAnsi="仿宋" w:eastAsia="仿宋"/>
          <w:color w:val="auto"/>
          <w:sz w:val="32"/>
          <w:szCs w:val="32"/>
          <w:u w:val="none"/>
        </w:rPr>
        <w:t>5.考试组织情况</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ascii="仿宋" w:hAnsi="仿宋" w:eastAsia="仿宋" w:cs="Times New Roman"/>
          <w:color w:val="auto"/>
          <w:sz w:val="32"/>
          <w:szCs w:val="32"/>
          <w:u w:val="none"/>
        </w:rPr>
      </w:pPr>
      <w:r>
        <w:rPr>
          <w:rFonts w:hint="eastAsia" w:ascii="仿宋" w:hAnsi="仿宋" w:eastAsia="仿宋"/>
          <w:color w:val="auto"/>
          <w:sz w:val="32"/>
          <w:szCs w:val="32"/>
          <w:u w:val="none"/>
        </w:rPr>
        <w:t>校本部2021年春季学期</w:t>
      </w:r>
      <w:r>
        <w:rPr>
          <w:rFonts w:ascii="仿宋" w:hAnsi="仿宋" w:eastAsia="仿宋"/>
          <w:color w:val="auto"/>
          <w:sz w:val="32"/>
          <w:szCs w:val="32"/>
          <w:u w:val="none"/>
        </w:rPr>
        <w:t>考试</w:t>
      </w:r>
      <w:r>
        <w:rPr>
          <w:rFonts w:hint="eastAsia" w:ascii="仿宋" w:hAnsi="仿宋" w:eastAsia="仿宋"/>
          <w:color w:val="auto"/>
          <w:sz w:val="32"/>
          <w:szCs w:val="32"/>
          <w:u w:val="none"/>
        </w:rPr>
        <w:t>仍然由</w:t>
      </w:r>
      <w:r>
        <w:rPr>
          <w:rFonts w:hint="eastAsia" w:ascii="仿宋" w:hAnsi="仿宋" w:eastAsia="仿宋"/>
          <w:color w:val="auto"/>
          <w:sz w:val="32"/>
          <w:szCs w:val="32"/>
          <w:u w:val="none"/>
          <w:lang w:val="en-US" w:eastAsia="zh-CN"/>
        </w:rPr>
        <w:t>省校</w:t>
      </w:r>
      <w:r>
        <w:rPr>
          <w:rFonts w:hint="eastAsia" w:ascii="仿宋" w:hAnsi="仿宋" w:eastAsia="仿宋"/>
          <w:color w:val="auto"/>
          <w:sz w:val="32"/>
          <w:szCs w:val="32"/>
          <w:u w:val="none"/>
        </w:rPr>
        <w:t>主考。在省校主考理工学部主任、教务处副处长邹运明同志及其团队直接领导与布置下组织期末考试工作。2021年秋季学期自行主考。在</w:t>
      </w:r>
      <w:r>
        <w:rPr>
          <w:rFonts w:hint="eastAsia" w:ascii="仿宋" w:hAnsi="仿宋" w:eastAsia="仿宋"/>
          <w:color w:val="auto"/>
          <w:sz w:val="32"/>
          <w:szCs w:val="32"/>
          <w:u w:val="none"/>
          <w:lang w:val="en-US" w:eastAsia="zh-CN"/>
        </w:rPr>
        <w:t>省校</w:t>
      </w:r>
      <w:r>
        <w:rPr>
          <w:rFonts w:hint="eastAsia" w:ascii="仿宋" w:hAnsi="仿宋" w:eastAsia="仿宋"/>
          <w:color w:val="auto"/>
          <w:sz w:val="32"/>
          <w:szCs w:val="32"/>
          <w:u w:val="none"/>
        </w:rPr>
        <w:t>的直接领导下，</w:t>
      </w:r>
      <w:r>
        <w:rPr>
          <w:rFonts w:hint="eastAsia" w:ascii="仿宋" w:hAnsi="仿宋" w:eastAsia="仿宋"/>
          <w:color w:val="auto"/>
          <w:sz w:val="32"/>
          <w:szCs w:val="32"/>
          <w:u w:val="none"/>
          <w:lang w:val="en-US" w:eastAsia="zh-CN"/>
        </w:rPr>
        <w:t>学校</w:t>
      </w:r>
      <w:r>
        <w:rPr>
          <w:rFonts w:hint="eastAsia" w:ascii="仿宋" w:hAnsi="仿宋" w:eastAsia="仿宋"/>
          <w:color w:val="auto"/>
          <w:sz w:val="32"/>
          <w:szCs w:val="32"/>
          <w:u w:val="none"/>
        </w:rPr>
        <w:t>经过一年组考工作的整改虽然成效显著，但还是阶段性的，今后将继续按照</w:t>
      </w:r>
      <w:r>
        <w:rPr>
          <w:rFonts w:hint="eastAsia" w:ascii="仿宋" w:hAnsi="仿宋" w:eastAsia="仿宋" w:cs="Times New Roman"/>
          <w:color w:val="auto"/>
          <w:sz w:val="32"/>
          <w:szCs w:val="32"/>
          <w:u w:val="none"/>
        </w:rPr>
        <w:t>《开放教育质量提升综合治理工程工作方案</w:t>
      </w:r>
      <w:r>
        <w:rPr>
          <w:rFonts w:hint="eastAsia" w:ascii="仿宋" w:hAnsi="仿宋" w:eastAsia="仿宋" w:cs="Times New Roman"/>
          <w:color w:val="auto"/>
          <w:sz w:val="32"/>
          <w:szCs w:val="32"/>
          <w:u w:val="none"/>
          <w:lang w:eastAsia="zh-CN"/>
        </w:rPr>
        <w:t>（</w:t>
      </w:r>
      <w:r>
        <w:rPr>
          <w:rFonts w:hint="eastAsia" w:ascii="仿宋" w:hAnsi="仿宋" w:eastAsia="仿宋" w:cs="Times New Roman"/>
          <w:color w:val="auto"/>
          <w:sz w:val="32"/>
          <w:szCs w:val="32"/>
          <w:u w:val="none"/>
        </w:rPr>
        <w:t>试行）》分节点、按步骤抓实各项工作。</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ascii="仿宋" w:hAnsi="仿宋" w:eastAsia="仿宋"/>
          <w:color w:val="auto"/>
          <w:sz w:val="32"/>
          <w:szCs w:val="32"/>
          <w:u w:val="none"/>
        </w:rPr>
      </w:pPr>
      <w:r>
        <w:rPr>
          <w:rFonts w:hint="eastAsia" w:ascii="仿宋" w:hAnsi="仿宋" w:eastAsia="仿宋" w:cs="Times New Roman"/>
          <w:color w:val="auto"/>
          <w:sz w:val="32"/>
          <w:szCs w:val="32"/>
          <w:u w:val="none"/>
        </w:rPr>
        <w:t>（1）要彻底消除少数教师存在的认识偏差问题。重视教师队伍建设，加大对教师队伍的综合素质的培训，提高教师队伍的思想觉悟，专业化水平，要使全体教职工认识到，教学质量及学生的学习效果才是学校发展的真正动力。从严治学、治考是提高教学质量的有效途径。只有这样，全体教职工才能真正在组考工作上形成共识。</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ascii="仿宋" w:hAnsi="仿宋" w:eastAsia="仿宋"/>
          <w:color w:val="auto"/>
          <w:sz w:val="32"/>
          <w:szCs w:val="32"/>
          <w:u w:val="none"/>
        </w:rPr>
      </w:pPr>
      <w:r>
        <w:rPr>
          <w:rFonts w:hint="eastAsia" w:ascii="仿宋" w:hAnsi="仿宋" w:eastAsia="仿宋"/>
          <w:color w:val="auto"/>
          <w:sz w:val="32"/>
          <w:szCs w:val="32"/>
          <w:u w:val="none"/>
        </w:rPr>
        <w:t>（2）要进一步强化制度建设。在今后的考试工作中，学校要让全体教职工学习、掌握各项考试规章制度的内容，切实将考试规章制度落实到每一个工作步骤、每一个工作节点。</w:t>
      </w:r>
    </w:p>
    <w:p>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ascii="仿宋" w:hAnsi="仿宋" w:eastAsia="仿宋"/>
          <w:color w:val="auto"/>
          <w:sz w:val="32"/>
          <w:szCs w:val="32"/>
          <w:u w:val="none"/>
        </w:rPr>
      </w:pPr>
      <w:r>
        <w:rPr>
          <w:rFonts w:hint="eastAsia" w:ascii="仿宋" w:hAnsi="仿宋" w:eastAsia="仿宋"/>
          <w:color w:val="auto"/>
          <w:sz w:val="32"/>
          <w:szCs w:val="32"/>
          <w:u w:val="none"/>
        </w:rPr>
        <w:t>（3）要严格按照国家开放大学及</w:t>
      </w:r>
      <w:r>
        <w:rPr>
          <w:rFonts w:hint="eastAsia" w:ascii="仿宋" w:hAnsi="仿宋" w:eastAsia="仿宋"/>
          <w:color w:val="auto"/>
          <w:sz w:val="32"/>
          <w:szCs w:val="32"/>
          <w:u w:val="none"/>
          <w:lang w:val="en-US" w:eastAsia="zh-CN"/>
        </w:rPr>
        <w:t>省校</w:t>
      </w:r>
      <w:r>
        <w:rPr>
          <w:rFonts w:hint="eastAsia" w:ascii="仿宋" w:hAnsi="仿宋" w:eastAsia="仿宋"/>
          <w:color w:val="auto"/>
          <w:sz w:val="32"/>
          <w:szCs w:val="32"/>
          <w:u w:val="none"/>
        </w:rPr>
        <w:t>的办学要求，认真贯彻落实“学历教育创优提质战略”，切实履行职责，加强管理，有效落实治招、治学、治考过程。规范组织考试，坚决杜绝违规行为，使考试工作规范、科学、有序进行。</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ascii="仿宋" w:hAnsi="仿宋" w:eastAsia="仿宋"/>
          <w:color w:val="auto"/>
          <w:kern w:val="0"/>
          <w:sz w:val="32"/>
          <w:szCs w:val="32"/>
          <w:u w:val="none"/>
        </w:rPr>
      </w:pPr>
      <w:r>
        <w:rPr>
          <w:rFonts w:ascii="仿宋" w:hAnsi="仿宋" w:eastAsia="仿宋"/>
          <w:color w:val="auto"/>
          <w:kern w:val="0"/>
          <w:sz w:val="32"/>
          <w:szCs w:val="32"/>
          <w:u w:val="none"/>
        </w:rPr>
        <w:t>省校飞巡组巡考对</w:t>
      </w:r>
      <w:r>
        <w:rPr>
          <w:rFonts w:hint="eastAsia" w:ascii="仿宋" w:hAnsi="仿宋" w:eastAsia="仿宋"/>
          <w:color w:val="auto"/>
          <w:sz w:val="32"/>
          <w:szCs w:val="32"/>
          <w:u w:val="none"/>
        </w:rPr>
        <w:t>校本部考点2021年春</w:t>
      </w:r>
      <w:r>
        <w:rPr>
          <w:rFonts w:ascii="仿宋" w:hAnsi="仿宋" w:eastAsia="仿宋"/>
          <w:color w:val="auto"/>
          <w:kern w:val="0"/>
          <w:sz w:val="32"/>
          <w:szCs w:val="32"/>
          <w:u w:val="none"/>
        </w:rPr>
        <w:t>季考试工作进行检查，</w:t>
      </w:r>
      <w:r>
        <w:rPr>
          <w:rFonts w:hint="eastAsia" w:ascii="仿宋" w:hAnsi="仿宋" w:eastAsia="仿宋"/>
          <w:color w:val="auto"/>
          <w:sz w:val="32"/>
          <w:szCs w:val="32"/>
          <w:u w:val="none"/>
        </w:rPr>
        <w:t>2021春校本部考点仍然由省校主考</w:t>
      </w:r>
      <w:r>
        <w:rPr>
          <w:rFonts w:ascii="仿宋" w:hAnsi="仿宋" w:eastAsia="仿宋"/>
          <w:color w:val="auto"/>
          <w:kern w:val="0"/>
          <w:sz w:val="32"/>
          <w:szCs w:val="32"/>
          <w:u w:val="none"/>
        </w:rPr>
        <w:t>。</w:t>
      </w:r>
      <w:r>
        <w:rPr>
          <w:rFonts w:hint="eastAsia" w:ascii="仿宋" w:hAnsi="仿宋" w:eastAsia="仿宋"/>
          <w:color w:val="auto"/>
          <w:kern w:val="0"/>
          <w:sz w:val="32"/>
          <w:szCs w:val="32"/>
          <w:u w:val="none"/>
          <w:lang w:val="en-US" w:eastAsia="zh-CN"/>
        </w:rPr>
        <w:t>对</w:t>
      </w:r>
      <w:r>
        <w:rPr>
          <w:rFonts w:hint="eastAsia" w:ascii="仿宋" w:hAnsi="仿宋" w:eastAsia="仿宋"/>
          <w:color w:val="auto"/>
          <w:sz w:val="32"/>
          <w:szCs w:val="32"/>
          <w:u w:val="none"/>
        </w:rPr>
        <w:t>德兴市、鄱阳县、万年县、校本部考点2021年秋</w:t>
      </w:r>
      <w:r>
        <w:rPr>
          <w:rFonts w:ascii="仿宋" w:hAnsi="仿宋" w:eastAsia="仿宋"/>
          <w:color w:val="auto"/>
          <w:kern w:val="0"/>
          <w:sz w:val="32"/>
          <w:szCs w:val="32"/>
          <w:u w:val="none"/>
        </w:rPr>
        <w:t>季考试工作进行检查，</w:t>
      </w:r>
      <w:r>
        <w:rPr>
          <w:rFonts w:hint="eastAsia" w:ascii="仿宋" w:hAnsi="仿宋" w:eastAsia="仿宋"/>
          <w:color w:val="auto"/>
          <w:kern w:val="0"/>
          <w:sz w:val="32"/>
          <w:szCs w:val="32"/>
          <w:u w:val="none"/>
        </w:rPr>
        <w:t>反馈</w:t>
      </w:r>
      <w:r>
        <w:rPr>
          <w:rFonts w:ascii="仿宋" w:hAnsi="仿宋" w:eastAsia="仿宋"/>
          <w:color w:val="auto"/>
          <w:kern w:val="0"/>
          <w:sz w:val="32"/>
          <w:szCs w:val="32"/>
          <w:u w:val="none"/>
        </w:rPr>
        <w:t>情况</w:t>
      </w:r>
      <w:r>
        <w:rPr>
          <w:rFonts w:hint="eastAsia" w:ascii="仿宋" w:hAnsi="仿宋" w:eastAsia="仿宋"/>
          <w:color w:val="auto"/>
          <w:kern w:val="0"/>
          <w:sz w:val="32"/>
          <w:szCs w:val="32"/>
          <w:u w:val="none"/>
        </w:rPr>
        <w:t>较好</w:t>
      </w:r>
      <w:r>
        <w:rPr>
          <w:rFonts w:ascii="仿宋" w:hAnsi="仿宋" w:eastAsia="仿宋"/>
          <w:color w:val="auto"/>
          <w:kern w:val="0"/>
          <w:sz w:val="32"/>
          <w:szCs w:val="32"/>
          <w:u w:val="none"/>
        </w:rPr>
        <w:t>。</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仿宋" w:hAnsi="仿宋" w:eastAsia="仿宋"/>
          <w:color w:val="auto"/>
          <w:kern w:val="0"/>
          <w:sz w:val="28"/>
          <w:szCs w:val="28"/>
          <w:u w:val="none"/>
        </w:rPr>
      </w:pPr>
      <w:r>
        <w:rPr>
          <w:rFonts w:ascii="仿宋" w:hAnsi="仿宋" w:eastAsia="仿宋"/>
          <w:color w:val="auto"/>
          <w:kern w:val="0"/>
          <w:sz w:val="28"/>
          <w:szCs w:val="28"/>
          <w:u w:val="none"/>
        </w:rPr>
        <w:t>表2-4-5</w:t>
      </w:r>
      <w:r>
        <w:rPr>
          <w:rFonts w:ascii="仿宋" w:hAnsi="仿宋" w:eastAsia="仿宋"/>
          <w:color w:val="auto"/>
          <w:sz w:val="28"/>
          <w:szCs w:val="28"/>
          <w:u w:val="none"/>
        </w:rPr>
        <w:t xml:space="preserve"> 2021</w:t>
      </w:r>
      <w:r>
        <w:rPr>
          <w:rFonts w:ascii="仿宋" w:hAnsi="仿宋" w:eastAsia="仿宋"/>
          <w:color w:val="auto"/>
          <w:kern w:val="0"/>
          <w:sz w:val="28"/>
          <w:szCs w:val="28"/>
          <w:u w:val="none"/>
        </w:rPr>
        <w:t>年度开放教育考试情况</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614"/>
        <w:gridCol w:w="1725"/>
        <w:gridCol w:w="1883"/>
        <w:gridCol w:w="1868"/>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90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学期</w:t>
            </w:r>
          </w:p>
        </w:tc>
        <w:tc>
          <w:tcPr>
            <w:tcW w:w="96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实考人数</w:t>
            </w:r>
          </w:p>
        </w:tc>
        <w:tc>
          <w:tcPr>
            <w:tcW w:w="1050"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实考率</w:t>
            </w:r>
          </w:p>
        </w:tc>
        <w:tc>
          <w:tcPr>
            <w:tcW w:w="1042"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合格人数</w:t>
            </w:r>
          </w:p>
        </w:tc>
        <w:tc>
          <w:tcPr>
            <w:tcW w:w="104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90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春季</w:t>
            </w:r>
          </w:p>
        </w:tc>
        <w:tc>
          <w:tcPr>
            <w:tcW w:w="96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64307</w:t>
            </w:r>
          </w:p>
        </w:tc>
        <w:tc>
          <w:tcPr>
            <w:tcW w:w="105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96.9%</w:t>
            </w:r>
          </w:p>
        </w:tc>
        <w:tc>
          <w:tcPr>
            <w:tcW w:w="104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55252</w:t>
            </w:r>
          </w:p>
        </w:tc>
        <w:tc>
          <w:tcPr>
            <w:tcW w:w="104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90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秋季</w:t>
            </w:r>
          </w:p>
        </w:tc>
        <w:tc>
          <w:tcPr>
            <w:tcW w:w="96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48055</w:t>
            </w:r>
          </w:p>
        </w:tc>
        <w:tc>
          <w:tcPr>
            <w:tcW w:w="1050"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92</w:t>
            </w:r>
            <w:r>
              <w:rPr>
                <w:rFonts w:ascii="仿宋" w:hAnsi="仿宋" w:eastAsia="仿宋"/>
                <w:color w:val="auto"/>
                <w:sz w:val="28"/>
                <w:szCs w:val="28"/>
                <w:u w:val="none"/>
              </w:rPr>
              <w:t>.</w:t>
            </w:r>
            <w:r>
              <w:rPr>
                <w:rFonts w:hint="eastAsia" w:ascii="仿宋" w:hAnsi="仿宋" w:eastAsia="仿宋"/>
                <w:color w:val="auto"/>
                <w:sz w:val="28"/>
                <w:szCs w:val="28"/>
                <w:u w:val="none"/>
              </w:rPr>
              <w:t>3%</w:t>
            </w:r>
          </w:p>
        </w:tc>
        <w:tc>
          <w:tcPr>
            <w:tcW w:w="1042"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40719</w:t>
            </w:r>
          </w:p>
        </w:tc>
        <w:tc>
          <w:tcPr>
            <w:tcW w:w="1043" w:type="pct"/>
            <w:tcBorders>
              <w:top w:val="single" w:color="000000" w:sz="8" w:space="0"/>
              <w:left w:val="single" w:color="000000" w:sz="8" w:space="0"/>
              <w:bottom w:val="single" w:color="000000" w:sz="8" w:space="0"/>
              <w:right w:val="single" w:color="000000" w:sz="8"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86</w:t>
            </w:r>
            <w:r>
              <w:rPr>
                <w:rFonts w:ascii="仿宋" w:hAnsi="仿宋" w:eastAsia="仿宋"/>
                <w:color w:val="auto"/>
                <w:sz w:val="28"/>
                <w:szCs w:val="28"/>
                <w:u w:val="none"/>
              </w:rPr>
              <w:t>.</w:t>
            </w:r>
            <w:r>
              <w:rPr>
                <w:rFonts w:hint="eastAsia" w:ascii="仿宋" w:hAnsi="仿宋" w:eastAsia="仿宋"/>
                <w:color w:val="auto"/>
                <w:sz w:val="28"/>
                <w:szCs w:val="28"/>
                <w:u w:val="none"/>
              </w:rPr>
              <w:t>9%</w:t>
            </w:r>
          </w:p>
        </w:tc>
      </w:tr>
    </w:tbl>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6.教学检查结果</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省校对</w:t>
      </w:r>
      <w:r>
        <w:rPr>
          <w:rFonts w:hint="eastAsia" w:ascii="仿宋" w:hAnsi="仿宋" w:eastAsia="仿宋" w:cs="仿宋"/>
          <w:color w:val="auto"/>
          <w:sz w:val="32"/>
          <w:szCs w:val="32"/>
          <w:u w:val="none"/>
          <w:lang w:val="en-US" w:eastAsia="zh-CN"/>
        </w:rPr>
        <w:t>上饶开大</w:t>
      </w:r>
      <w:r>
        <w:rPr>
          <w:rFonts w:hint="eastAsia" w:ascii="仿宋" w:hAnsi="仿宋" w:eastAsia="仿宋" w:cs="仿宋"/>
          <w:color w:val="auto"/>
          <w:sz w:val="32"/>
          <w:szCs w:val="32"/>
          <w:u w:val="none"/>
        </w:rPr>
        <w:t>综合教学检查的反馈意见</w:t>
      </w:r>
      <w:r>
        <w:rPr>
          <w:rFonts w:hint="eastAsia" w:ascii="仿宋" w:hAnsi="仿宋" w:eastAsia="仿宋" w:cs="仿宋"/>
          <w:color w:val="auto"/>
          <w:sz w:val="32"/>
          <w:szCs w:val="32"/>
          <w:u w:val="none"/>
          <w:lang w:eastAsia="zh-CN"/>
        </w:rPr>
        <w:t>。</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①亮点：</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第一，高度重视迎检工作，对2020年发现的问题进行了认真</w:t>
      </w:r>
      <w:r>
        <w:rPr>
          <w:rFonts w:hint="eastAsia" w:ascii="仿宋" w:hAnsi="仿宋" w:eastAsia="仿宋" w:cs="仿宋"/>
          <w:color w:val="auto"/>
          <w:sz w:val="32"/>
          <w:szCs w:val="32"/>
          <w:u w:val="none"/>
          <w:lang w:eastAsia="zh-CN"/>
        </w:rPr>
        <w:t>有效的整改</w:t>
      </w:r>
      <w:r>
        <w:rPr>
          <w:rFonts w:hint="eastAsia" w:ascii="仿宋" w:hAnsi="仿宋" w:eastAsia="仿宋" w:cs="仿宋"/>
          <w:color w:val="auto"/>
          <w:sz w:val="32"/>
          <w:szCs w:val="32"/>
          <w:u w:val="none"/>
        </w:rPr>
        <w:t>。如加强形成性考核管理，健全制度，优化导学服务。</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第二，扎实推进思想政治教育工作。将三鼎寻根园作为学生思想政治教育协同实践基地，让思想政治理论课主阵地以及校园文化、社会实践等辅助阵地并驾齐驱，形成思想政治教育工作的强大合力。</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第三，信息上行反馈通畅。2021年秋季学期，所辖学习中心全部完成课表提交，课表提交率达100%。</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24"/>
          <w:u w:val="none"/>
        </w:rPr>
      </w:pPr>
      <w:r>
        <w:rPr>
          <w:rFonts w:hint="eastAsia" w:ascii="仿宋" w:hAnsi="仿宋" w:eastAsia="仿宋" w:cs="仿宋"/>
          <w:color w:val="auto"/>
          <w:sz w:val="32"/>
          <w:szCs w:val="32"/>
          <w:u w:val="none"/>
        </w:rPr>
        <w:t>②建议：</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24"/>
          <w:u w:val="none"/>
        </w:rPr>
      </w:pPr>
      <w:r>
        <w:rPr>
          <w:rFonts w:hint="eastAsia" w:ascii="仿宋" w:hAnsi="仿宋" w:eastAsia="仿宋" w:cs="仿宋"/>
          <w:color w:val="auto"/>
          <w:sz w:val="32"/>
          <w:szCs w:val="24"/>
          <w:u w:val="none"/>
        </w:rPr>
        <w:t>第一，强化师资队伍建设。优化教师的学历结构和知识结构，组织开展专题培训讲座、教师技能大赛等系列活动，持续提升师资队伍服务教学的能力。</w:t>
      </w:r>
    </w:p>
    <w:p>
      <w:pPr>
        <w:pStyle w:val="16"/>
        <w:keepNext w:val="0"/>
        <w:keepLines w:val="0"/>
        <w:pageBreakBefore w:val="0"/>
        <w:kinsoku/>
        <w:wordWrap/>
        <w:overflowPunct/>
        <w:topLinePunct w:val="0"/>
        <w:autoSpaceDE/>
        <w:autoSpaceDN/>
        <w:bidi w:val="0"/>
        <w:adjustRightInd/>
        <w:spacing w:line="500" w:lineRule="exact"/>
        <w:ind w:firstLine="640"/>
        <w:jc w:val="both"/>
        <w:textAlignment w:val="auto"/>
        <w:rPr>
          <w:rFonts w:hint="eastAsia" w:ascii="仿宋" w:hAnsi="仿宋" w:eastAsia="仿宋" w:cs="仿宋"/>
          <w:color w:val="auto"/>
          <w:sz w:val="32"/>
          <w:szCs w:val="24"/>
          <w:u w:val="none"/>
        </w:rPr>
      </w:pPr>
      <w:r>
        <w:rPr>
          <w:rFonts w:hint="eastAsia" w:ascii="仿宋" w:hAnsi="仿宋" w:eastAsia="仿宋" w:cs="仿宋"/>
          <w:color w:val="auto"/>
          <w:sz w:val="32"/>
          <w:szCs w:val="24"/>
          <w:u w:val="none"/>
        </w:rPr>
        <w:t>第二，加强对学习中心的业务指导。在做好市校校本部教材征订工作的同时，要加强对所辖学习中心教材征订工作的业务指导和管理监控。</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24"/>
          <w:u w:val="none"/>
        </w:rPr>
      </w:pPr>
      <w:r>
        <w:rPr>
          <w:rFonts w:hint="eastAsia" w:ascii="仿宋" w:hAnsi="仿宋" w:eastAsia="仿宋" w:cs="仿宋"/>
          <w:color w:val="auto"/>
          <w:sz w:val="32"/>
          <w:szCs w:val="24"/>
          <w:u w:val="none"/>
        </w:rPr>
        <w:t>第三，加强过程监控与督导。充分利用学习网教与学的行为数据，强化网上学习过程，加强网上教学数据的分析和应用，针对薄弱环节加大整改力度。</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楷体" w:hAnsi="楷体" w:eastAsia="楷体" w:cs="楷体"/>
          <w:color w:val="auto"/>
          <w:sz w:val="32"/>
          <w:szCs w:val="32"/>
          <w:u w:val="none"/>
        </w:rPr>
      </w:pPr>
      <w:r>
        <w:rPr>
          <w:rFonts w:hint="eastAsia" w:ascii="楷体" w:hAnsi="楷体" w:eastAsia="楷体" w:cs="楷体"/>
          <w:color w:val="auto"/>
          <w:sz w:val="32"/>
          <w:szCs w:val="32"/>
          <w:u w:val="none"/>
        </w:rPr>
        <w:t>（五）思政教育和学生工作</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2021年度学校思政教育与学生工作成果喜人。</w:t>
      </w:r>
      <w:r>
        <w:rPr>
          <w:rFonts w:hint="eastAsia" w:ascii="仿宋" w:hAnsi="仿宋" w:eastAsia="仿宋" w:cs="仿宋"/>
          <w:color w:val="auto"/>
          <w:sz w:val="32"/>
          <w:szCs w:val="32"/>
          <w:u w:val="none"/>
          <w:lang w:val="en-US" w:eastAsia="zh-CN"/>
        </w:rPr>
        <w:t>学校</w:t>
      </w:r>
      <w:r>
        <w:rPr>
          <w:rFonts w:hint="eastAsia" w:ascii="仿宋" w:hAnsi="仿宋" w:eastAsia="仿宋" w:cs="仿宋"/>
          <w:color w:val="auto"/>
          <w:sz w:val="32"/>
          <w:szCs w:val="32"/>
          <w:u w:val="none"/>
        </w:rPr>
        <w:t>建有学生思想政治教育、学生管理、班主任管理等规章制度，学校所有专职教师都承担班主任工作，有相关业务科室负责相关学生事务工作。建有班主任管理考评细则，每年两次组织对班主任的业务培训，1个学生思想政治教育协同实践基地继续运行。今年结合校党委《关于在全校开展党史学习教育的实施方案》的通知精神，以及省校组织的“赣鄱学子心向党”系列活动，将学生思想政治工作融入党史学习教育活动中统筹安排。组织学生进入江西省爱国主义教育基地数字展馆，开展线上“红色走读”活动；遴选了2首红歌合唱短视频作品参加“百首红歌接力唱响祝福”活动；组织青年学生团队，录制视频《讲述党史故事</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永远的丰碑——方志敏》，讲述方志敏同志的感人故事；组织学生线上参加“同上‘四史’思政大课”和“讲党史故事 做奋进青年”青年大联学活动。根据党史学习教育的“为民办实事”实践活动要求，今年重点在以下4个事项加强了对学生的服务工作：（1）落实考试辅导工作，教务处、成教处组织班主任在学期末（考试前10天）做好各门课程期末复习的辅导工作，及时转发省校下发的辅导资料，提高考前复习的有效性。(2</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每学期根据省校的通知及时准确地做好学生的学籍、学历信息修改工作，为学生学籍、学历信息的查询、更正提供便利和帮助。（3）积极做好奖学金、优秀毕业生和优秀学员的推选工作，充分发挥优秀学生的示范和引领作用，调动学生的学习积极性和主动性，激励学生克服困难、刻苦学习，顺利完成学业。（4）</w:t>
      </w:r>
      <w:r>
        <w:rPr>
          <w:rFonts w:hint="eastAsia" w:ascii="仿宋" w:hAnsi="仿宋" w:eastAsia="仿宋" w:cs="仿宋"/>
          <w:color w:val="auto"/>
          <w:sz w:val="32"/>
          <w:szCs w:val="32"/>
          <w:u w:val="none"/>
          <w:lang w:val="en-US" w:eastAsia="zh-CN"/>
        </w:rPr>
        <w:t>学</w:t>
      </w:r>
      <w:r>
        <w:rPr>
          <w:rFonts w:hint="eastAsia" w:ascii="仿宋" w:hAnsi="仿宋" w:eastAsia="仿宋" w:cs="仿宋"/>
          <w:color w:val="auto"/>
          <w:sz w:val="32"/>
          <w:szCs w:val="32"/>
          <w:u w:val="none"/>
        </w:rPr>
        <w:t>校一直都在结对帮扶的贫困村持续开展“金秋助学”活动，为建档立卡贫困户家中从幼儿园到大学在校生发放助学金。今年根据省校“我为群众办实事”资助开放教育家庭经济困难学生的活动通知的要求，及时调查摸底，将经扶贫部门确认的6名建档立卡贫困家庭开放教育学生作为资助对象上报。</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三、办学条件</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楷体" w:hAnsi="楷体" w:eastAsia="楷体" w:cs="楷体"/>
          <w:color w:val="auto"/>
          <w:sz w:val="32"/>
          <w:szCs w:val="32"/>
          <w:u w:val="none"/>
        </w:rPr>
      </w:pPr>
      <w:r>
        <w:rPr>
          <w:rFonts w:hint="eastAsia" w:ascii="楷体" w:hAnsi="楷体" w:eastAsia="楷体" w:cs="楷体"/>
          <w:color w:val="auto"/>
          <w:sz w:val="32"/>
          <w:szCs w:val="32"/>
          <w:u w:val="none"/>
        </w:rPr>
        <w:t>（一）办学场地与设施</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kern w:val="0"/>
          <w:sz w:val="32"/>
          <w:szCs w:val="32"/>
          <w:u w:val="none"/>
        </w:rPr>
      </w:pPr>
      <w:r>
        <w:rPr>
          <w:rFonts w:hint="eastAsia" w:ascii="仿宋" w:hAnsi="仿宋" w:eastAsia="仿宋" w:cs="仿宋"/>
          <w:color w:val="auto"/>
          <w:sz w:val="32"/>
          <w:szCs w:val="32"/>
          <w:u w:val="none"/>
        </w:rPr>
        <w:t>1.校本部，上饶开大校本部位于上饶市水南街330号，占地面积10亩，校舍建筑面积7000平方米，建成了地面卫星接收站、电视视听室、多功能视听室、多媒体语音室、计算机网络教室等，校园网以高速宽带的方式与互联网相连，校园环境整洁优美。学校内设办公室、教务处、成人教育处、继续教育处、信息技术处、招生办、工会、团委、监察室等中层管理机构。校本部现有专职教师23人，其中教授3人、副教授10人，共有35人的</w:t>
      </w:r>
      <w:r>
        <w:rPr>
          <w:rFonts w:hint="eastAsia" w:ascii="仿宋" w:hAnsi="仿宋" w:eastAsia="仿宋" w:cs="仿宋"/>
          <w:color w:val="auto"/>
          <w:sz w:val="32"/>
          <w:szCs w:val="32"/>
          <w:u w:val="none"/>
          <w:lang w:eastAsia="zh-CN"/>
        </w:rPr>
        <w:t>专兼职</w:t>
      </w:r>
      <w:r>
        <w:rPr>
          <w:rFonts w:hint="eastAsia" w:ascii="仿宋" w:hAnsi="仿宋" w:eastAsia="仿宋" w:cs="仿宋"/>
          <w:color w:val="auto"/>
          <w:sz w:val="32"/>
          <w:szCs w:val="32"/>
          <w:u w:val="none"/>
        </w:rPr>
        <w:t>教师队伍。所属技工学校占地面积50亩，办学用房面积33000多平方米，校舍5栋，办公室16间，教室40间，寝室122间。</w:t>
      </w:r>
    </w:p>
    <w:p>
      <w:pPr>
        <w:keepNext w:val="0"/>
        <w:keepLines w:val="0"/>
        <w:pageBreakBefore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kern w:val="0"/>
          <w:sz w:val="32"/>
          <w:szCs w:val="32"/>
          <w:u w:val="none"/>
        </w:rPr>
      </w:pPr>
      <w:r>
        <w:rPr>
          <w:rFonts w:hint="eastAsia" w:ascii="仿宋" w:hAnsi="仿宋" w:eastAsia="仿宋" w:cs="仿宋"/>
          <w:color w:val="auto"/>
          <w:kern w:val="0"/>
          <w:sz w:val="32"/>
          <w:szCs w:val="32"/>
          <w:u w:val="none"/>
        </w:rPr>
        <w:t>2.校外实践基地</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学校重视实践课教学，全市</w:t>
      </w:r>
      <w:r>
        <w:rPr>
          <w:rFonts w:hint="eastAsia" w:ascii="仿宋" w:hAnsi="仿宋" w:eastAsia="仿宋"/>
          <w:color w:val="auto"/>
          <w:sz w:val="32"/>
          <w:szCs w:val="32"/>
          <w:u w:val="none"/>
          <w:lang w:eastAsia="zh-CN"/>
        </w:rPr>
        <w:t>系统</w:t>
      </w:r>
      <w:r>
        <w:rPr>
          <w:rFonts w:hint="eastAsia" w:ascii="仿宋" w:hAnsi="仿宋" w:eastAsia="仿宋"/>
          <w:color w:val="auto"/>
          <w:sz w:val="32"/>
          <w:szCs w:val="32"/>
          <w:u w:val="none"/>
        </w:rPr>
        <w:t>拥有51个专业实践教学基地，通过在实践基地的教学，学生将所学的理论知识更好的融会贯通于实践，结合自身工作进行专业实习。</w:t>
      </w:r>
    </w:p>
    <w:p>
      <w:pPr>
        <w:keepNext w:val="0"/>
        <w:keepLines w:val="0"/>
        <w:pageBreakBefore w:val="0"/>
        <w:kinsoku/>
        <w:wordWrap/>
        <w:overflowPunct/>
        <w:topLinePunct w:val="0"/>
        <w:autoSpaceDE/>
        <w:autoSpaceDN/>
        <w:bidi w:val="0"/>
        <w:adjustRightInd/>
        <w:snapToGrid w:val="0"/>
        <w:spacing w:line="500" w:lineRule="exact"/>
        <w:jc w:val="center"/>
        <w:textAlignment w:val="auto"/>
        <w:rPr>
          <w:rFonts w:ascii="仿宋" w:hAnsi="仿宋" w:eastAsia="仿宋"/>
          <w:color w:val="auto"/>
          <w:kern w:val="0"/>
          <w:sz w:val="28"/>
          <w:szCs w:val="28"/>
          <w:u w:val="none"/>
        </w:rPr>
      </w:pPr>
      <w:r>
        <w:rPr>
          <w:rFonts w:ascii="仿宋" w:hAnsi="仿宋" w:eastAsia="仿宋"/>
          <w:color w:val="auto"/>
          <w:kern w:val="0"/>
          <w:sz w:val="28"/>
          <w:szCs w:val="28"/>
          <w:u w:val="none"/>
        </w:rPr>
        <w:t>表3-1</w:t>
      </w:r>
      <w:r>
        <w:rPr>
          <w:rFonts w:ascii="仿宋" w:hAnsi="仿宋" w:eastAsia="仿宋"/>
          <w:color w:val="auto"/>
          <w:sz w:val="28"/>
          <w:szCs w:val="28"/>
          <w:u w:val="none"/>
        </w:rPr>
        <w:t xml:space="preserve"> 2021</w:t>
      </w:r>
      <w:r>
        <w:rPr>
          <w:rFonts w:ascii="仿宋" w:hAnsi="仿宋" w:eastAsia="仿宋"/>
          <w:color w:val="auto"/>
          <w:kern w:val="0"/>
          <w:sz w:val="28"/>
          <w:szCs w:val="28"/>
          <w:u w:val="none"/>
        </w:rPr>
        <w:t>年度办学场地与设施</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769"/>
        <w:gridCol w:w="975"/>
        <w:gridCol w:w="1521"/>
        <w:gridCol w:w="752"/>
        <w:gridCol w:w="820"/>
        <w:gridCol w:w="1240"/>
        <w:gridCol w:w="1100"/>
        <w:gridCol w:w="1100"/>
        <w:gridCol w:w="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45" w:hRule="exact"/>
        </w:trPr>
        <w:tc>
          <w:tcPr>
            <w:tcW w:w="42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p>
        </w:tc>
        <w:tc>
          <w:tcPr>
            <w:tcW w:w="54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办学场地面积（亩）</w:t>
            </w:r>
          </w:p>
        </w:tc>
        <w:tc>
          <w:tcPr>
            <w:tcW w:w="84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办学用房面积（平方米）</w:t>
            </w:r>
          </w:p>
        </w:tc>
        <w:tc>
          <w:tcPr>
            <w:tcW w:w="41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办学用房生均面积（平方米）</w:t>
            </w:r>
          </w:p>
        </w:tc>
        <w:tc>
          <w:tcPr>
            <w:tcW w:w="45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能容纳30人的教室间数</w:t>
            </w:r>
          </w:p>
        </w:tc>
        <w:tc>
          <w:tcPr>
            <w:tcW w:w="69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在籍生数与教室数比</w:t>
            </w:r>
          </w:p>
        </w:tc>
        <w:tc>
          <w:tcPr>
            <w:tcW w:w="61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计算机台数</w:t>
            </w:r>
          </w:p>
        </w:tc>
        <w:tc>
          <w:tcPr>
            <w:tcW w:w="61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在籍生数与计算机数比</w:t>
            </w:r>
          </w:p>
        </w:tc>
        <w:tc>
          <w:tcPr>
            <w:tcW w:w="38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630" w:hRule="exact"/>
        </w:trPr>
        <w:tc>
          <w:tcPr>
            <w:tcW w:w="429"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校本部</w:t>
            </w:r>
          </w:p>
        </w:tc>
        <w:tc>
          <w:tcPr>
            <w:tcW w:w="544"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10+50</w:t>
            </w:r>
          </w:p>
        </w:tc>
        <w:tc>
          <w:tcPr>
            <w:tcW w:w="848"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7000+33000</w:t>
            </w:r>
          </w:p>
        </w:tc>
        <w:tc>
          <w:tcPr>
            <w:tcW w:w="419"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5.69</w:t>
            </w:r>
          </w:p>
        </w:tc>
        <w:tc>
          <w:tcPr>
            <w:tcW w:w="457"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22+40</w:t>
            </w:r>
          </w:p>
        </w:tc>
        <w:tc>
          <w:tcPr>
            <w:tcW w:w="691"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106.55：1</w:t>
            </w:r>
          </w:p>
        </w:tc>
        <w:tc>
          <w:tcPr>
            <w:tcW w:w="61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120+230</w:t>
            </w:r>
          </w:p>
        </w:tc>
        <w:tc>
          <w:tcPr>
            <w:tcW w:w="613"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20.09:1</w:t>
            </w:r>
          </w:p>
        </w:tc>
        <w:tc>
          <w:tcPr>
            <w:tcW w:w="381" w:type="pc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80" w:hRule="exact"/>
        </w:trPr>
        <w:tc>
          <w:tcPr>
            <w:tcW w:w="42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ascii="仿宋" w:hAnsi="仿宋" w:eastAsia="仿宋"/>
                <w:color w:val="auto"/>
                <w:sz w:val="28"/>
                <w:szCs w:val="28"/>
                <w:u w:val="none"/>
              </w:rPr>
              <w:t>全省排名</w:t>
            </w:r>
          </w:p>
        </w:tc>
        <w:tc>
          <w:tcPr>
            <w:tcW w:w="54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w:t>
            </w:r>
          </w:p>
        </w:tc>
        <w:tc>
          <w:tcPr>
            <w:tcW w:w="848"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w:t>
            </w:r>
          </w:p>
        </w:tc>
        <w:tc>
          <w:tcPr>
            <w:tcW w:w="419"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2</w:t>
            </w:r>
          </w:p>
        </w:tc>
        <w:tc>
          <w:tcPr>
            <w:tcW w:w="45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1</w:t>
            </w:r>
          </w:p>
        </w:tc>
        <w:tc>
          <w:tcPr>
            <w:tcW w:w="69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4</w:t>
            </w:r>
          </w:p>
        </w:tc>
        <w:tc>
          <w:tcPr>
            <w:tcW w:w="61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3</w:t>
            </w:r>
          </w:p>
        </w:tc>
        <w:tc>
          <w:tcPr>
            <w:tcW w:w="613"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7</w:t>
            </w:r>
          </w:p>
        </w:tc>
        <w:tc>
          <w:tcPr>
            <w:tcW w:w="38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仿宋" w:hAnsi="仿宋" w:eastAsia="仿宋"/>
                <w:color w:val="auto"/>
                <w:sz w:val="28"/>
                <w:szCs w:val="28"/>
                <w:u w:val="none"/>
              </w:rPr>
            </w:pPr>
            <w:r>
              <w:rPr>
                <w:rFonts w:hint="eastAsia" w:ascii="仿宋" w:hAnsi="仿宋" w:eastAsia="仿宋"/>
                <w:color w:val="auto"/>
                <w:sz w:val="28"/>
                <w:szCs w:val="28"/>
                <w:u w:val="none"/>
              </w:rPr>
              <w:t>2</w:t>
            </w:r>
          </w:p>
        </w:tc>
      </w:tr>
    </w:tbl>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仿宋" w:hAnsi="仿宋" w:eastAsia="仿宋" w:cs="仿宋"/>
          <w:color w:val="auto"/>
          <w:sz w:val="32"/>
          <w:szCs w:val="32"/>
          <w:u w:val="none"/>
        </w:rPr>
      </w:pPr>
      <w:r>
        <w:rPr>
          <w:rFonts w:hint="eastAsia" w:ascii="仿宋" w:hAnsi="仿宋" w:eastAsia="仿宋" w:cs="仿宋"/>
          <w:color w:val="auto"/>
          <w:sz w:val="28"/>
          <w:szCs w:val="28"/>
          <w:u w:val="none"/>
        </w:rPr>
        <w:t>说明：“+”后数据主要为上饶市技工学校办学场地，暂租用。</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hint="eastAsia" w:ascii="楷体" w:hAnsi="楷体" w:eastAsia="楷体" w:cs="楷体"/>
          <w:color w:val="auto"/>
          <w:sz w:val="32"/>
          <w:szCs w:val="32"/>
          <w:u w:val="none"/>
        </w:rPr>
      </w:pPr>
      <w:r>
        <w:rPr>
          <w:rFonts w:hint="eastAsia" w:ascii="楷体" w:hAnsi="楷体" w:eastAsia="楷体" w:cs="楷体"/>
          <w:color w:val="auto"/>
          <w:sz w:val="32"/>
          <w:szCs w:val="32"/>
          <w:u w:val="none"/>
        </w:rPr>
        <w:t>（二）师资队伍</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全市开大现有239名教师，开放教育生师比为66.49：1。其中，专职教师（副高级以上职称教师98名，中级职称教师72名，硕士研究生15名）；聘任兼职教师52名。</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积极参与省开大的课程网络教学实施团队及教学支持团队，目前已推荐14名教师参加网络教学团队。</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表3-2 2021年度教师情况</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校内教师数量与结构</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195"/>
        <w:gridCol w:w="662"/>
        <w:gridCol w:w="906"/>
        <w:gridCol w:w="906"/>
        <w:gridCol w:w="906"/>
        <w:gridCol w:w="907"/>
        <w:gridCol w:w="712"/>
        <w:gridCol w:w="791"/>
        <w:gridCol w:w="581"/>
        <w:gridCol w:w="791"/>
        <w:gridCol w:w="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atLeast"/>
        </w:trPr>
        <w:tc>
          <w:tcPr>
            <w:tcW w:w="667" w:type="pct"/>
            <w:vMerge w:val="restar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单位</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名称</w:t>
            </w:r>
          </w:p>
        </w:tc>
        <w:tc>
          <w:tcPr>
            <w:tcW w:w="369" w:type="pct"/>
            <w:vMerge w:val="restar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在职教师人数</w:t>
            </w:r>
          </w:p>
        </w:tc>
        <w:tc>
          <w:tcPr>
            <w:tcW w:w="2021" w:type="pct"/>
            <w:gridSpan w:val="4"/>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职称情况</w:t>
            </w:r>
          </w:p>
        </w:tc>
        <w:tc>
          <w:tcPr>
            <w:tcW w:w="1940" w:type="pct"/>
            <w:gridSpan w:val="5"/>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atLeast"/>
        </w:trPr>
        <w:tc>
          <w:tcPr>
            <w:tcW w:w="667" w:type="pct"/>
            <w:vMerge w:val="continue"/>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369" w:type="pct"/>
            <w:vMerge w:val="continue"/>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505"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正高职称人数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副高职称人数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中级以下职称人数</w:t>
            </w:r>
          </w:p>
        </w:tc>
        <w:tc>
          <w:tcPr>
            <w:tcW w:w="397"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博士生人数</w:t>
            </w:r>
          </w:p>
        </w:tc>
        <w:tc>
          <w:tcPr>
            <w:tcW w:w="441"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硕士生人数</w:t>
            </w:r>
          </w:p>
        </w:tc>
        <w:tc>
          <w:tcPr>
            <w:tcW w:w="324"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本科人数</w:t>
            </w:r>
          </w:p>
        </w:tc>
        <w:tc>
          <w:tcPr>
            <w:tcW w:w="441"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大专人数</w:t>
            </w:r>
          </w:p>
        </w:tc>
        <w:tc>
          <w:tcPr>
            <w:tcW w:w="335" w:type="pct"/>
            <w:tcBorders>
              <w:top w:val="single" w:color="000000" w:sz="8" w:space="0"/>
              <w:left w:val="single" w:color="000000" w:sz="8" w:space="0"/>
              <w:bottom w:val="single" w:color="000000" w:sz="8" w:space="0"/>
              <w:right w:val="single" w:color="000000" w:sz="8" w:space="0"/>
            </w:tcBorders>
            <w:shd w:val="clear" w:color="auto" w:fill="D8D8D8"/>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大专以下人数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6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36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23</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39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32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16</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3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990" w:hRule="exact"/>
        </w:trPr>
        <w:tc>
          <w:tcPr>
            <w:tcW w:w="66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所辖县级机构汇总</w:t>
            </w:r>
          </w:p>
        </w:tc>
        <w:tc>
          <w:tcPr>
            <w:tcW w:w="36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164</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85</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64</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15</w:t>
            </w:r>
          </w:p>
        </w:tc>
        <w:tc>
          <w:tcPr>
            <w:tcW w:w="39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32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156</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3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bl>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校外聘任教师数量与结构</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60" w:type="dxa"/>
          <w:bottom w:w="120" w:type="dxa"/>
          <w:right w:w="60" w:type="dxa"/>
        </w:tblCellMar>
      </w:tblPr>
      <w:tblGrid>
        <w:gridCol w:w="1195"/>
        <w:gridCol w:w="662"/>
        <w:gridCol w:w="906"/>
        <w:gridCol w:w="906"/>
        <w:gridCol w:w="906"/>
        <w:gridCol w:w="907"/>
        <w:gridCol w:w="712"/>
        <w:gridCol w:w="791"/>
        <w:gridCol w:w="581"/>
        <w:gridCol w:w="791"/>
        <w:gridCol w:w="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atLeast"/>
        </w:trPr>
        <w:tc>
          <w:tcPr>
            <w:tcW w:w="667" w:type="pct"/>
            <w:vMerge w:val="restar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单位</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名称</w:t>
            </w:r>
          </w:p>
        </w:tc>
        <w:tc>
          <w:tcPr>
            <w:tcW w:w="369" w:type="pct"/>
            <w:vMerge w:val="restar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兼职教师人数</w:t>
            </w:r>
          </w:p>
        </w:tc>
        <w:tc>
          <w:tcPr>
            <w:tcW w:w="2021" w:type="pct"/>
            <w:gridSpan w:val="4"/>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职称情况</w:t>
            </w:r>
          </w:p>
        </w:tc>
        <w:tc>
          <w:tcPr>
            <w:tcW w:w="1940" w:type="pct"/>
            <w:gridSpan w:val="5"/>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atLeast"/>
        </w:trPr>
        <w:tc>
          <w:tcPr>
            <w:tcW w:w="667" w:type="pct"/>
            <w:vMerge w:val="continue"/>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369" w:type="pct"/>
            <w:vMerge w:val="continue"/>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p>
        </w:tc>
        <w:tc>
          <w:tcPr>
            <w:tcW w:w="50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正高职称人数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副高职称人数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中级职称人数</w:t>
            </w:r>
          </w:p>
        </w:tc>
        <w:tc>
          <w:tcPr>
            <w:tcW w:w="50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中级以下职称人数</w:t>
            </w:r>
          </w:p>
        </w:tc>
        <w:tc>
          <w:tcPr>
            <w:tcW w:w="397"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博士生人数</w:t>
            </w:r>
          </w:p>
        </w:tc>
        <w:tc>
          <w:tcPr>
            <w:tcW w:w="44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硕士生人数</w:t>
            </w:r>
          </w:p>
        </w:tc>
        <w:tc>
          <w:tcPr>
            <w:tcW w:w="324"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本科人数</w:t>
            </w:r>
          </w:p>
        </w:tc>
        <w:tc>
          <w:tcPr>
            <w:tcW w:w="441"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大专人数</w:t>
            </w:r>
          </w:p>
        </w:tc>
        <w:tc>
          <w:tcPr>
            <w:tcW w:w="335" w:type="pct"/>
            <w:tcBorders>
              <w:top w:val="single" w:color="000000" w:sz="8" w:space="0"/>
              <w:left w:val="single" w:color="000000" w:sz="8" w:space="0"/>
              <w:bottom w:val="single" w:color="000000" w:sz="8" w:space="0"/>
              <w:right w:val="single" w:color="000000" w:sz="8" w:space="0"/>
            </w:tcBorders>
            <w:shd w:val="clear" w:color="auto" w:fill="F1F1F1" w:themeFill="background1" w:themeFillShade="F2"/>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大专以下人数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40" w:hRule="exact"/>
        </w:trPr>
        <w:tc>
          <w:tcPr>
            <w:tcW w:w="66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36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9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2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3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50" w:hRule="exact"/>
        </w:trPr>
        <w:tc>
          <w:tcPr>
            <w:tcW w:w="66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所辖县级机构汇总</w:t>
            </w:r>
          </w:p>
        </w:tc>
        <w:tc>
          <w:tcPr>
            <w:tcW w:w="36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25</w:t>
            </w:r>
          </w:p>
        </w:tc>
        <w:tc>
          <w:tcPr>
            <w:tcW w:w="50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397"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32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38</w:t>
            </w:r>
          </w:p>
        </w:tc>
        <w:tc>
          <w:tcPr>
            <w:tcW w:w="44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3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bl>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黑体" w:hAnsi="黑体" w:eastAsia="黑体"/>
          <w:color w:val="auto"/>
          <w:sz w:val="32"/>
          <w:szCs w:val="32"/>
          <w:u w:val="none"/>
        </w:rPr>
      </w:pPr>
      <w:r>
        <w:rPr>
          <w:rFonts w:ascii="黑体" w:hAnsi="黑体" w:eastAsia="黑体"/>
          <w:color w:val="auto"/>
          <w:sz w:val="32"/>
          <w:szCs w:val="32"/>
          <w:u w:val="none"/>
        </w:rPr>
        <w:t>四、科学研究和特色创新</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楷体" w:hAnsi="楷体" w:eastAsia="楷体"/>
          <w:color w:val="auto"/>
          <w:sz w:val="32"/>
          <w:szCs w:val="32"/>
          <w:u w:val="none"/>
        </w:rPr>
      </w:pPr>
      <w:r>
        <w:rPr>
          <w:rFonts w:ascii="楷体" w:hAnsi="楷体" w:eastAsia="楷体"/>
          <w:color w:val="auto"/>
          <w:sz w:val="32"/>
          <w:szCs w:val="32"/>
          <w:u w:val="none"/>
        </w:rPr>
        <w:t>（一）科学研究</w:t>
      </w:r>
    </w:p>
    <w:p>
      <w:pPr>
        <w:pStyle w:val="16"/>
        <w:keepNext w:val="0"/>
        <w:keepLines w:val="0"/>
        <w:pageBreakBefore w:val="0"/>
        <w:widowControl w:val="0"/>
        <w:kinsoku/>
        <w:wordWrap/>
        <w:overflowPunct/>
        <w:topLinePunct w:val="0"/>
        <w:autoSpaceDE/>
        <w:autoSpaceDN/>
        <w:bidi w:val="0"/>
        <w:adjustRightInd/>
        <w:spacing w:line="500" w:lineRule="exact"/>
        <w:ind w:firstLine="640"/>
        <w:jc w:val="both"/>
        <w:textAlignment w:val="auto"/>
        <w:rPr>
          <w:rFonts w:ascii="楷体" w:hAnsi="楷体" w:eastAsia="仿宋" w:cs="楷体"/>
          <w:b/>
          <w:bCs/>
          <w:color w:val="auto"/>
          <w:sz w:val="32"/>
          <w:szCs w:val="32"/>
          <w:u w:val="none"/>
        </w:rPr>
      </w:pPr>
      <w:r>
        <w:rPr>
          <w:rFonts w:hint="eastAsia" w:ascii="仿宋" w:hAnsi="仿宋" w:eastAsia="仿宋"/>
          <w:color w:val="auto"/>
          <w:sz w:val="32"/>
          <w:szCs w:val="32"/>
          <w:u w:val="none"/>
        </w:rPr>
        <w:t>1.设立科研管理职能部门，有专人负责科研工作；修改完善了《上饶广播电视大学科研项目管理办法》，使科研工作逐步规范化、科学化。</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stheme="minorEastAsia"/>
          <w:bCs/>
          <w:color w:val="auto"/>
          <w:sz w:val="32"/>
          <w:szCs w:val="32"/>
          <w:u w:val="none"/>
        </w:rPr>
      </w:pPr>
      <w:r>
        <w:rPr>
          <w:rFonts w:hint="eastAsia" w:ascii="仿宋" w:hAnsi="仿宋" w:eastAsia="仿宋"/>
          <w:color w:val="auto"/>
          <w:sz w:val="32"/>
          <w:szCs w:val="32"/>
          <w:u w:val="none"/>
        </w:rPr>
        <w:t>2.学校鼓励教师申报各类研究课题，提升科研水平，21年度发表学术论文2篇，课题结题一项。分别是</w:t>
      </w:r>
      <w:r>
        <w:rPr>
          <w:rFonts w:hint="eastAsia" w:ascii="仿宋" w:hAnsi="仿宋" w:eastAsia="仿宋" w:cstheme="minorEastAsia"/>
          <w:bCs/>
          <w:color w:val="auto"/>
          <w:sz w:val="32"/>
          <w:szCs w:val="32"/>
          <w:u w:val="none"/>
        </w:rPr>
        <w:t>《互联网时代大学生计算机教育教学创新》在《食品研究与开发》期刊（北大中文核心）上发表，时间是2021年10月；《浅析远程教育的网络安全问题》在《教育前沿》（教育核心）上发表，时间是2021年4月，课题《现代信息技术引领下的远程教育变革分析》2020年10月开题，2021年6月结题。</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3.开展全市</w:t>
      </w:r>
      <w:r>
        <w:rPr>
          <w:rFonts w:hint="eastAsia" w:ascii="仿宋" w:hAnsi="仿宋" w:eastAsia="仿宋"/>
          <w:color w:val="auto"/>
          <w:sz w:val="32"/>
          <w:szCs w:val="32"/>
          <w:u w:val="none"/>
          <w:lang w:eastAsia="zh-CN"/>
        </w:rPr>
        <w:t>开大</w:t>
      </w:r>
      <w:r>
        <w:rPr>
          <w:rFonts w:hint="eastAsia" w:ascii="仿宋" w:hAnsi="仿宋" w:eastAsia="仿宋"/>
          <w:color w:val="auto"/>
          <w:sz w:val="32"/>
          <w:szCs w:val="32"/>
          <w:u w:val="none"/>
        </w:rPr>
        <w:t>远程教育论文交流与研讨活动。</w:t>
      </w:r>
    </w:p>
    <w:p>
      <w:pPr>
        <w:keepNext w:val="0"/>
        <w:keepLines w:val="0"/>
        <w:pageBreakBefore w:val="0"/>
        <w:widowControl w:val="0"/>
        <w:kinsoku/>
        <w:wordWrap/>
        <w:overflowPunct/>
        <w:topLinePunct w:val="0"/>
        <w:autoSpaceDE/>
        <w:autoSpaceDN/>
        <w:bidi w:val="0"/>
        <w:adjustRightInd/>
        <w:spacing w:line="500" w:lineRule="exact"/>
        <w:ind w:firstLine="480" w:firstLineChars="150"/>
        <w:jc w:val="both"/>
        <w:textAlignment w:val="auto"/>
        <w:rPr>
          <w:rFonts w:hint="eastAsia" w:ascii="楷体" w:hAnsi="楷体" w:eastAsia="楷体" w:cs="楷体"/>
          <w:b w:val="0"/>
          <w:bCs/>
          <w:color w:val="auto"/>
          <w:sz w:val="32"/>
          <w:szCs w:val="32"/>
          <w:u w:val="none"/>
        </w:rPr>
      </w:pPr>
      <w:r>
        <w:rPr>
          <w:rFonts w:hint="eastAsia" w:ascii="楷体" w:hAnsi="楷体" w:eastAsia="楷体" w:cs="楷体"/>
          <w:b w:val="0"/>
          <w:bCs/>
          <w:color w:val="auto"/>
          <w:sz w:val="32"/>
          <w:szCs w:val="32"/>
          <w:u w:val="none"/>
        </w:rPr>
        <w:t>（二）特色创新</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olor w:val="auto"/>
          <w:sz w:val="32"/>
          <w:szCs w:val="32"/>
          <w:u w:val="none"/>
        </w:rPr>
        <w:t>一是突破招生难点，做大做强校本部。校领导率先垂范，深入企业事业单位、系统行业、工业园区、居民社区等地，采用联合办学等形式，在外来务工、进城打工等人群中，挖掘拓展生源渠道，打破生源瓶颈。二是坚持抓两头带中间，激发基层</w:t>
      </w:r>
      <w:r>
        <w:rPr>
          <w:rFonts w:hint="eastAsia" w:ascii="仿宋" w:hAnsi="仿宋" w:eastAsia="仿宋"/>
          <w:color w:val="auto"/>
          <w:sz w:val="32"/>
          <w:szCs w:val="32"/>
          <w:u w:val="none"/>
          <w:lang w:eastAsia="zh-CN"/>
        </w:rPr>
        <w:t>机构</w:t>
      </w:r>
      <w:r>
        <w:rPr>
          <w:rFonts w:ascii="仿宋" w:hAnsi="仿宋" w:eastAsia="仿宋"/>
          <w:color w:val="auto"/>
          <w:sz w:val="32"/>
          <w:szCs w:val="32"/>
          <w:u w:val="none"/>
        </w:rPr>
        <w:t>活力。通过抓人口大县和较为薄弱的后进县，促中间层快速推进。通过各种场合、各种渠道，开展对外宣传</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，打造</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品牌。三是坚持内涵建设，强质量提升实力。四是建好惠民工程，亮名片提升服务。站在学校发展战略全局的高度，以提升质量作为</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改革发展的核心任务，内强素质，突出内涵管理。抓教师能力提升，成立了理工、文科、财经三个教研组，以教学研究为平台，强化学科特色。为提高教师应用现代教育技术的能力和专业教学水平，学校举办现代教育技术培训，加强对中青年教师的培养。学校鼓励教师申报各类研究课题，发表学术论文，提升科研水平，参与编写专业教材；开展了全市</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远程教育论文交流与研讨活动。补齐发展短板，推动各类办学发展提速。坚持学历教育与非学历培训并重，把非学历教育作为学校今后发展的重要目标。2021年，</w:t>
      </w:r>
      <w:r>
        <w:rPr>
          <w:rFonts w:hint="eastAsia" w:ascii="仿宋" w:hAnsi="仿宋" w:eastAsia="仿宋"/>
          <w:color w:val="auto"/>
          <w:sz w:val="32"/>
          <w:szCs w:val="32"/>
          <w:u w:val="none"/>
          <w:lang w:val="en-US" w:eastAsia="zh-CN"/>
        </w:rPr>
        <w:t>学</w:t>
      </w:r>
      <w:r>
        <w:rPr>
          <w:rFonts w:ascii="仿宋" w:hAnsi="仿宋" w:eastAsia="仿宋"/>
          <w:color w:val="auto"/>
          <w:sz w:val="32"/>
          <w:szCs w:val="32"/>
          <w:u w:val="none"/>
        </w:rPr>
        <w:t>校继续承担了上饶市中小学、幼儿园教师远程继续教育培训的工作。开展了全国新经纪品牌搏学大考考试。与银行系统合作，启动了银行业专业人员职业资格、人民银行反假币考试工作。另外，探索多种形式的学历教育模式。一是抓教师能力提升，做到打铁自身硬；二是抓过程督查，推动教学管理规范化；三是抓教学科研，不断提高管理创新能力。鄱阳、弋阳等地以</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为主相继成立了“一村一名大学生工程”学员的创新创业者联盟，组织开展参观学习活动以及创业分享活动。婺源</w:t>
      </w:r>
      <w:r>
        <w:rPr>
          <w:rFonts w:hint="eastAsia" w:ascii="仿宋" w:hAnsi="仿宋" w:eastAsia="仿宋"/>
          <w:color w:val="auto"/>
          <w:sz w:val="32"/>
          <w:szCs w:val="32"/>
          <w:u w:val="none"/>
          <w:lang w:eastAsia="zh-CN"/>
        </w:rPr>
        <w:t>学习中心</w:t>
      </w:r>
      <w:r>
        <w:rPr>
          <w:rFonts w:ascii="仿宋" w:hAnsi="仿宋" w:eastAsia="仿宋"/>
          <w:color w:val="auto"/>
          <w:sz w:val="32"/>
          <w:szCs w:val="32"/>
          <w:u w:val="none"/>
        </w:rPr>
        <w:t>每学年会组织学员到基地进行实践教学，学习茶叶栽培，茶叶制作，网络营销，农家乐旅游模式等，增强学员的实践动手能力，增进学员相互交流，取长补短，资源共享，共同促进。如江湾的江伟峰自己开发一个有机茶基地，他与戴向阳联合进行的茶叶营销；清华的胡来富开的清华宾馆，与其他学员进行的旅游营销等等，都是创业联盟的发展起步。校本部组织“一村一名大学生工程”学员参加特色休闲农业与现代园艺技术培训。</w:t>
      </w:r>
      <w:r>
        <w:rPr>
          <w:rFonts w:hint="eastAsia" w:ascii="仿宋" w:hAnsi="仿宋" w:eastAsia="仿宋"/>
          <w:color w:val="auto"/>
          <w:sz w:val="32"/>
          <w:szCs w:val="32"/>
          <w:u w:val="none"/>
          <w:lang w:val="en-US" w:eastAsia="zh-CN"/>
        </w:rPr>
        <w:t>上饶</w:t>
      </w:r>
      <w:r>
        <w:rPr>
          <w:rFonts w:hint="eastAsia" w:ascii="仿宋" w:hAnsi="仿宋" w:eastAsia="仿宋"/>
          <w:color w:val="auto"/>
          <w:sz w:val="32"/>
          <w:szCs w:val="32"/>
          <w:u w:val="none"/>
          <w:lang w:eastAsia="zh-CN"/>
        </w:rPr>
        <w:t>开大</w:t>
      </w:r>
      <w:r>
        <w:rPr>
          <w:rFonts w:ascii="仿宋" w:hAnsi="仿宋" w:eastAsia="仿宋"/>
          <w:color w:val="auto"/>
          <w:sz w:val="32"/>
          <w:szCs w:val="32"/>
          <w:u w:val="none"/>
        </w:rPr>
        <w:t>系统有3个教学基地被评为省级示范实践教学基地。通过《上饶日报》、《上饶之窗》、《上饶人网》以及省校网站等媒体上，宣传报道“一村一名大学生工程”在招生、教学、管理等方面的成效，1名在校生被评为江西省劳动模范，在社会上引起广泛关注。</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黑体" w:hAnsi="黑体" w:eastAsia="黑体"/>
          <w:b w:val="0"/>
          <w:bCs w:val="0"/>
          <w:color w:val="auto"/>
          <w:sz w:val="32"/>
          <w:szCs w:val="32"/>
          <w:u w:val="none"/>
        </w:rPr>
      </w:pPr>
      <w:r>
        <w:rPr>
          <w:rFonts w:ascii="黑体" w:hAnsi="黑体" w:eastAsia="黑体"/>
          <w:b w:val="0"/>
          <w:bCs w:val="0"/>
          <w:color w:val="auto"/>
          <w:sz w:val="32"/>
          <w:szCs w:val="32"/>
          <w:u w:val="none"/>
        </w:rPr>
        <w:t>五、社会服务</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楷体" w:hAnsi="楷体" w:eastAsia="楷体"/>
          <w:color w:val="auto"/>
          <w:sz w:val="32"/>
          <w:szCs w:val="32"/>
          <w:u w:val="none"/>
        </w:rPr>
      </w:pPr>
      <w:r>
        <w:rPr>
          <w:rFonts w:ascii="楷体" w:hAnsi="楷体" w:eastAsia="楷体"/>
          <w:color w:val="auto"/>
          <w:sz w:val="32"/>
          <w:szCs w:val="32"/>
          <w:u w:val="none"/>
        </w:rPr>
        <w:t>（一）服务地方经济社会发展与学习型社会建设情况</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olor w:val="auto"/>
          <w:sz w:val="32"/>
          <w:szCs w:val="32"/>
          <w:u w:val="none"/>
        </w:rPr>
        <w:t>1.乡村振兴。</w:t>
      </w:r>
      <w:r>
        <w:rPr>
          <w:rFonts w:hint="eastAsia" w:ascii="仿宋" w:hAnsi="仿宋" w:eastAsia="仿宋" w:cstheme="minorEastAsia"/>
          <w:color w:val="auto"/>
          <w:sz w:val="32"/>
          <w:szCs w:val="32"/>
          <w:u w:val="none"/>
        </w:rPr>
        <w:t>持续发力，助力乡村振兴。深入贯彻中央、省、市关于乡村振兴工作要求，校党委及时部署落实，认真研究谋划，精准施策，探索乡村振兴长效机制。纪委副书记胡慧芬被派驻铅山县石塘镇彭村村任第一书记，开展乡村振兴工作。校领导班子成员先后到乡村振兴驻村点调研，分析村情，研究落实相关民生和产业发展项目。</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olor w:val="auto"/>
          <w:sz w:val="32"/>
          <w:szCs w:val="32"/>
          <w:u w:val="none"/>
        </w:rPr>
        <w:t>2.产业服务。</w:t>
      </w:r>
      <w:r>
        <w:rPr>
          <w:rFonts w:hint="eastAsia" w:ascii="仿宋" w:hAnsi="仿宋" w:eastAsia="仿宋"/>
          <w:color w:val="auto"/>
          <w:sz w:val="32"/>
          <w:szCs w:val="32"/>
          <w:u w:val="none"/>
        </w:rPr>
        <w:t>认真学习贯彻习近平总书记关于驻村帮扶工作的重要指示精神，牢牢把握住乡村振兴工作新任务新形势新挑战，积极贯彻落实党中央、国务院的决策部署，利用学校的教育资源优势，优惠或免费为乡村培养有良好职业道德和自我发展能力的农民大学生，加强高素质农民培养，提高思想道德素养。同时</w:t>
      </w:r>
      <w:r>
        <w:rPr>
          <w:rFonts w:hint="eastAsia" w:ascii="仿宋" w:hAnsi="仿宋" w:eastAsia="仿宋"/>
          <w:color w:val="auto"/>
          <w:sz w:val="32"/>
          <w:szCs w:val="32"/>
          <w:u w:val="none"/>
          <w:lang w:val="en-US" w:eastAsia="zh-CN"/>
        </w:rPr>
        <w:t>学</w:t>
      </w:r>
      <w:r>
        <w:rPr>
          <w:rFonts w:hint="eastAsia" w:ascii="仿宋" w:hAnsi="仿宋" w:eastAsia="仿宋"/>
          <w:color w:val="auto"/>
          <w:sz w:val="32"/>
          <w:szCs w:val="32"/>
          <w:u w:val="none"/>
        </w:rPr>
        <w:t>校驻村干部利用村里的文化书屋积极提升村民的精神文化生活，改善村民的生产生活面貌，使村民们感受到乡村振兴给大家带来的新活力。拟投入5万元的产业服务项目正在洽谈中。</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olor w:val="auto"/>
          <w:sz w:val="32"/>
          <w:szCs w:val="32"/>
          <w:u w:val="none"/>
        </w:rPr>
        <w:t>3.社区教育</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1）广丰区30多家明德书院遍布乡镇；</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2）鄱阳县教师培训学校进行大型太极拳培训活动；</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3）全民阅读，送教下乡</w:t>
      </w:r>
      <w:r>
        <w:rPr>
          <w:rFonts w:hint="eastAsia" w:ascii="仿宋" w:hAnsi="仿宋" w:eastAsia="仿宋"/>
          <w:color w:val="auto"/>
          <w:sz w:val="32"/>
          <w:szCs w:val="32"/>
          <w:u w:val="none"/>
        </w:rPr>
        <w:t>。</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olor w:val="auto"/>
          <w:sz w:val="32"/>
          <w:szCs w:val="32"/>
          <w:u w:val="none"/>
        </w:rPr>
        <w:t>4.职业培训</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1）广信区进行多期创业培训；</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2）婺源县举办电商培训、残疾人培训；</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olor w:val="auto"/>
          <w:sz w:val="32"/>
          <w:szCs w:val="32"/>
          <w:u w:val="none"/>
        </w:rPr>
        <w:t>（</w:t>
      </w:r>
      <w:r>
        <w:rPr>
          <w:rFonts w:ascii="仿宋" w:hAnsi="仿宋" w:eastAsia="仿宋"/>
          <w:color w:val="auto"/>
          <w:sz w:val="32"/>
          <w:szCs w:val="32"/>
          <w:u w:val="none"/>
        </w:rPr>
        <w:t>3）上饶开大举行金融系统反假币培训</w:t>
      </w:r>
      <w:r>
        <w:rPr>
          <w:rFonts w:hint="eastAsia" w:ascii="仿宋" w:hAnsi="仿宋" w:eastAsia="仿宋"/>
          <w:color w:val="auto"/>
          <w:sz w:val="32"/>
          <w:szCs w:val="32"/>
          <w:u w:val="none"/>
        </w:rPr>
        <w:t>。</w:t>
      </w:r>
    </w:p>
    <w:p>
      <w:pPr>
        <w:keepNext w:val="0"/>
        <w:keepLines w:val="0"/>
        <w:pageBreakBefore w:val="0"/>
        <w:widowControl w:val="0"/>
        <w:kinsoku/>
        <w:wordWrap/>
        <w:overflowPunct/>
        <w:topLinePunct w:val="0"/>
        <w:autoSpaceDE/>
        <w:autoSpaceDN/>
        <w:bidi w:val="0"/>
        <w:adjustRightInd/>
        <w:spacing w:line="500" w:lineRule="exact"/>
        <w:ind w:firstLine="640" w:firstLineChars="200"/>
        <w:jc w:val="both"/>
        <w:textAlignment w:val="auto"/>
        <w:rPr>
          <w:rFonts w:ascii="仿宋" w:hAnsi="仿宋" w:eastAsia="仿宋"/>
          <w:color w:val="auto"/>
          <w:sz w:val="32"/>
          <w:szCs w:val="32"/>
          <w:u w:val="none"/>
        </w:rPr>
      </w:pPr>
      <w:r>
        <w:rPr>
          <w:rFonts w:ascii="楷体" w:hAnsi="楷体" w:eastAsia="楷体"/>
          <w:color w:val="auto"/>
          <w:sz w:val="32"/>
          <w:szCs w:val="32"/>
          <w:u w:val="none"/>
        </w:rPr>
        <w:t>（二）对口支援、教育帮扶情况</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仿宋" w:hAnsi="仿宋" w:eastAsia="仿宋" w:cstheme="minorEastAsia"/>
          <w:color w:val="auto"/>
          <w:sz w:val="32"/>
          <w:szCs w:val="32"/>
          <w:u w:val="none"/>
        </w:rPr>
      </w:pPr>
      <w:r>
        <w:rPr>
          <w:rFonts w:hint="eastAsia" w:ascii="仿宋" w:hAnsi="仿宋" w:eastAsia="仿宋"/>
          <w:color w:val="auto"/>
          <w:sz w:val="32"/>
          <w:szCs w:val="32"/>
          <w:u w:val="none"/>
        </w:rPr>
        <w:t>1</w:t>
      </w:r>
      <w:r>
        <w:rPr>
          <w:rFonts w:ascii="仿宋" w:hAnsi="仿宋" w:eastAsia="仿宋"/>
          <w:color w:val="auto"/>
          <w:sz w:val="32"/>
          <w:szCs w:val="32"/>
          <w:u w:val="none"/>
        </w:rPr>
        <w:t>.</w:t>
      </w:r>
      <w:r>
        <w:rPr>
          <w:rFonts w:hint="eastAsia" w:ascii="仿宋" w:hAnsi="仿宋" w:eastAsia="仿宋"/>
          <w:color w:val="auto"/>
          <w:sz w:val="32"/>
          <w:szCs w:val="32"/>
          <w:u w:val="none"/>
        </w:rPr>
        <w:t>为帮扶对象提供“扶智”支持。学校对接帮扶的铅山县青溪服务中心孔家村虽然已于2020年底整村脱贫，但学校坚持脱贫不脱帮，继续提供助学“扶智”支持，赢得了扶贫对象的赞誉。在先期扶持10多人的基础上，2</w:t>
      </w:r>
      <w:r>
        <w:rPr>
          <w:rFonts w:ascii="仿宋" w:hAnsi="仿宋" w:eastAsia="仿宋"/>
          <w:color w:val="auto"/>
          <w:sz w:val="32"/>
          <w:szCs w:val="32"/>
          <w:u w:val="none"/>
        </w:rPr>
        <w:t>021</w:t>
      </w:r>
      <w:r>
        <w:rPr>
          <w:rFonts w:hint="eastAsia" w:ascii="仿宋" w:hAnsi="仿宋" w:eastAsia="仿宋"/>
          <w:color w:val="auto"/>
          <w:sz w:val="32"/>
          <w:szCs w:val="32"/>
          <w:u w:val="none"/>
        </w:rPr>
        <w:t>年4月份，又为扶贫对象子女孔慧娟、孔慧玥减免6266元学费，赢得了村民的好评。</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仿宋" w:hAnsi="仿宋" w:eastAsia="仿宋"/>
          <w:color w:val="auto"/>
          <w:sz w:val="32"/>
          <w:szCs w:val="32"/>
          <w:u w:val="none"/>
        </w:rPr>
      </w:pPr>
      <w:r>
        <w:rPr>
          <w:rFonts w:ascii="仿宋" w:hAnsi="仿宋" w:eastAsia="仿宋" w:cstheme="minorEastAsia"/>
          <w:color w:val="auto"/>
          <w:sz w:val="32"/>
          <w:szCs w:val="32"/>
          <w:u w:val="none"/>
        </w:rPr>
        <w:t>2.</w:t>
      </w:r>
      <w:r>
        <w:rPr>
          <w:rFonts w:hint="eastAsia" w:ascii="仿宋" w:hAnsi="仿宋" w:eastAsia="仿宋"/>
          <w:color w:val="auto"/>
          <w:sz w:val="32"/>
          <w:szCs w:val="32"/>
          <w:u w:val="none"/>
        </w:rPr>
        <w:t>利用学校的教育资源优势，优惠或免费为乡村培养有良好职业道德和自我发展能力的农民大学生，加强高素质农民培养。</w:t>
      </w:r>
    </w:p>
    <w:p>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jc w:val="both"/>
        <w:textAlignment w:val="auto"/>
        <w:rPr>
          <w:rFonts w:ascii="仿宋" w:hAnsi="仿宋" w:eastAsia="仿宋"/>
          <w:color w:val="auto"/>
          <w:sz w:val="32"/>
          <w:szCs w:val="32"/>
          <w:u w:val="none"/>
        </w:rPr>
      </w:pPr>
      <w:r>
        <w:rPr>
          <w:rFonts w:ascii="楷体" w:hAnsi="楷体" w:eastAsia="楷体"/>
          <w:color w:val="auto"/>
          <w:sz w:val="32"/>
          <w:szCs w:val="32"/>
          <w:u w:val="none"/>
        </w:rPr>
        <w:t>（三）学校资源面向校内、社会开放服务情况</w:t>
      </w:r>
    </w:p>
    <w:p>
      <w:pPr>
        <w:pStyle w:val="2"/>
        <w:keepNext w:val="0"/>
        <w:keepLines w:val="0"/>
        <w:pageBreakBefore w:val="0"/>
        <w:widowControl w:val="0"/>
        <w:kinsoku/>
        <w:wordWrap/>
        <w:overflowPunct/>
        <w:topLinePunct w:val="0"/>
        <w:autoSpaceDE/>
        <w:autoSpaceDN/>
        <w:bidi w:val="0"/>
        <w:adjustRightInd/>
        <w:spacing w:after="0" w:line="500" w:lineRule="exact"/>
        <w:ind w:firstLine="640" w:firstLineChars="200"/>
        <w:jc w:val="both"/>
        <w:textAlignment w:val="auto"/>
        <w:rPr>
          <w:rFonts w:ascii="仿宋" w:hAnsi="仿宋" w:eastAsia="仿宋"/>
          <w:color w:val="auto"/>
          <w:sz w:val="32"/>
          <w:szCs w:val="32"/>
          <w:u w:val="none"/>
        </w:rPr>
      </w:pPr>
      <w:r>
        <w:rPr>
          <w:rFonts w:hint="eastAsia" w:ascii="仿宋" w:hAnsi="仿宋" w:eastAsia="仿宋" w:cs="宋体"/>
          <w:color w:val="auto"/>
          <w:kern w:val="0"/>
          <w:sz w:val="32"/>
          <w:szCs w:val="32"/>
          <w:u w:val="none"/>
        </w:rPr>
        <w:t>学校图书四万余册免费向师生及兄弟单位职工借阅，学校机房适时向学生开放，为人民银行、邮政储蓄银行提供在职培训及岗位考试服务。</w:t>
      </w:r>
    </w:p>
    <w:p>
      <w:pPr>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firstLine="640" w:firstLineChars="200"/>
        <w:jc w:val="both"/>
        <w:textAlignment w:val="auto"/>
        <w:rPr>
          <w:rFonts w:ascii="黑体" w:hAnsi="黑体" w:eastAsia="黑体"/>
          <w:color w:val="auto"/>
          <w:sz w:val="32"/>
          <w:szCs w:val="32"/>
          <w:u w:val="none"/>
        </w:rPr>
      </w:pPr>
      <w:r>
        <w:rPr>
          <w:rFonts w:ascii="黑体" w:hAnsi="黑体" w:eastAsia="黑体"/>
          <w:color w:val="auto"/>
          <w:sz w:val="32"/>
          <w:szCs w:val="32"/>
          <w:u w:val="none"/>
        </w:rPr>
        <w:t>存在的问题</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s="宋体"/>
          <w:color w:val="auto"/>
          <w:kern w:val="0"/>
          <w:sz w:val="32"/>
          <w:szCs w:val="32"/>
          <w:u w:val="none"/>
          <w:lang w:val="en-US" w:eastAsia="zh-CN" w:bidi="ar-SA"/>
        </w:rPr>
      </w:pPr>
      <w:r>
        <w:rPr>
          <w:rFonts w:hint="eastAsia" w:ascii="仿宋" w:hAnsi="仿宋" w:eastAsia="仿宋" w:cs="宋体"/>
          <w:color w:val="auto"/>
          <w:kern w:val="0"/>
          <w:sz w:val="32"/>
          <w:szCs w:val="32"/>
          <w:u w:val="none"/>
          <w:lang w:val="en-US" w:eastAsia="zh-CN" w:bidi="ar-SA"/>
        </w:rPr>
        <w:t>1.师资力量较薄弱，教师年龄和专业结构不够合理，</w:t>
      </w:r>
      <w:r>
        <w:rPr>
          <w:rFonts w:hint="eastAsia" w:ascii="仿宋" w:hAnsi="仿宋" w:eastAsia="仿宋"/>
          <w:color w:val="auto"/>
          <w:sz w:val="32"/>
          <w:szCs w:val="32"/>
          <w:u w:val="none"/>
          <w:lang w:val="en-US" w:eastAsia="zh-CN"/>
        </w:rPr>
        <w:t>参与上级开放大学核心团队工作有待加强</w:t>
      </w:r>
      <w:r>
        <w:rPr>
          <w:rFonts w:hint="eastAsia" w:ascii="仿宋" w:hAnsi="仿宋" w:eastAsia="仿宋" w:cs="宋体"/>
          <w:color w:val="auto"/>
          <w:kern w:val="0"/>
          <w:sz w:val="32"/>
          <w:szCs w:val="32"/>
          <w:u w:val="none"/>
          <w:lang w:val="en-US" w:eastAsia="zh-CN" w:bidi="ar-SA"/>
        </w:rPr>
        <w:t>。</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s="宋体"/>
          <w:color w:val="auto"/>
          <w:kern w:val="0"/>
          <w:sz w:val="32"/>
          <w:szCs w:val="32"/>
          <w:u w:val="none"/>
          <w:lang w:val="en-US" w:eastAsia="zh-CN" w:bidi="ar-SA"/>
        </w:rPr>
      </w:pPr>
      <w:r>
        <w:rPr>
          <w:rFonts w:hint="eastAsia" w:ascii="仿宋" w:hAnsi="仿宋" w:eastAsia="仿宋" w:cs="宋体"/>
          <w:color w:val="auto"/>
          <w:kern w:val="0"/>
          <w:sz w:val="32"/>
          <w:szCs w:val="32"/>
          <w:u w:val="none"/>
          <w:lang w:val="en-US" w:eastAsia="zh-CN" w:bidi="ar-SA"/>
        </w:rPr>
        <w:t>2.办学场地与办学规模不够相适应。</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s="宋体"/>
          <w:color w:val="auto"/>
          <w:kern w:val="0"/>
          <w:sz w:val="32"/>
          <w:szCs w:val="32"/>
          <w:u w:val="none"/>
          <w:lang w:val="en-US" w:eastAsia="zh-CN" w:bidi="ar-SA"/>
        </w:rPr>
      </w:pPr>
      <w:r>
        <w:rPr>
          <w:rFonts w:hint="eastAsia" w:ascii="仿宋" w:hAnsi="仿宋" w:eastAsia="仿宋" w:cs="宋体"/>
          <w:color w:val="auto"/>
          <w:kern w:val="0"/>
          <w:sz w:val="32"/>
          <w:szCs w:val="32"/>
          <w:u w:val="none"/>
          <w:lang w:val="en-US" w:eastAsia="zh-CN" w:bidi="ar-SA"/>
        </w:rPr>
        <w:t>3.要加强对所辖办学单位教学工作的考核，激发办学积极性，做好面授（直播）教学；提升网上教学主动性、活跃性，2021年学习网“选课率”“教师人均在线行为次数”“学生人均在线行为次数”排名靠后。</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4.</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要加大国家开放大学学位申请的宣传力度，做好学位外语培训和相关组织工作。2021年度无学生申请学位。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olor w:val="auto"/>
          <w:sz w:val="32"/>
          <w:szCs w:val="32"/>
          <w:u w:val="none"/>
        </w:rPr>
      </w:pPr>
      <w:r>
        <w:rPr>
          <w:rFonts w:hint="eastAsia" w:ascii="仿宋" w:hAnsi="仿宋" w:eastAsia="仿宋"/>
          <w:color w:val="auto"/>
          <w:sz w:val="32"/>
          <w:szCs w:val="32"/>
          <w:u w:val="none"/>
          <w:lang w:val="en-US" w:eastAsia="zh-CN"/>
        </w:rPr>
        <w:t>5.要成立学生工作队伍，积极开展校友工作，做好毕业生评价工作。</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olor w:val="auto"/>
          <w:sz w:val="32"/>
          <w:szCs w:val="32"/>
          <w:u w:val="none"/>
          <w:lang w:val="en-US" w:eastAsia="zh-CN"/>
        </w:rPr>
      </w:pPr>
      <w:r>
        <w:rPr>
          <w:rFonts w:hint="eastAsia" w:ascii="仿宋" w:hAnsi="仿宋" w:eastAsia="仿宋" w:cs="宋体"/>
          <w:color w:val="auto"/>
          <w:kern w:val="0"/>
          <w:sz w:val="32"/>
          <w:szCs w:val="32"/>
          <w:u w:val="none"/>
          <w:lang w:val="en-US" w:eastAsia="zh-CN" w:bidi="ar-SA"/>
        </w:rPr>
        <w:t>6.教材配置率低，2021年秋季教材配置率仅27.89%；电子资源少；自建课程资源不多，资源建设并向社会推广的能力有待加强。</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olor w:val="auto"/>
          <w:sz w:val="32"/>
          <w:szCs w:val="32"/>
          <w:u w:val="none"/>
          <w:lang w:val="en-US" w:eastAsia="zh-CN"/>
        </w:rPr>
      </w:pPr>
      <w:r>
        <w:rPr>
          <w:rFonts w:hint="eastAsia" w:ascii="仿宋" w:hAnsi="仿宋" w:eastAsia="仿宋" w:cs="宋体"/>
          <w:color w:val="auto"/>
          <w:kern w:val="0"/>
          <w:sz w:val="32"/>
          <w:szCs w:val="32"/>
          <w:u w:val="none"/>
          <w:lang w:val="en-US" w:eastAsia="zh-CN" w:bidi="ar-SA"/>
        </w:rPr>
        <w:t>7.教师参与科研积极性不高</w:t>
      </w:r>
      <w:r>
        <w:rPr>
          <w:rFonts w:hint="eastAsia" w:ascii="仿宋" w:hAnsi="仿宋" w:eastAsia="仿宋"/>
          <w:color w:val="auto"/>
          <w:sz w:val="32"/>
          <w:szCs w:val="32"/>
          <w:u w:val="none"/>
          <w:lang w:val="en-US" w:eastAsia="zh-CN"/>
        </w:rPr>
        <w:t>。</w:t>
      </w:r>
    </w:p>
    <w:p>
      <w:pPr>
        <w:pStyle w:val="16"/>
        <w:keepNext w:val="0"/>
        <w:keepLines w:val="0"/>
        <w:pageBreakBefore w:val="0"/>
        <w:widowControl w:val="0"/>
        <w:kinsoku/>
        <w:wordWrap/>
        <w:overflowPunct/>
        <w:topLinePunct w:val="0"/>
        <w:autoSpaceDE/>
        <w:autoSpaceDN/>
        <w:bidi w:val="0"/>
        <w:adjustRightInd/>
        <w:snapToGrid/>
        <w:spacing w:line="500" w:lineRule="exact"/>
        <w:ind w:firstLine="640"/>
        <w:jc w:val="both"/>
        <w:textAlignment w:val="auto"/>
        <w:rPr>
          <w:rFonts w:hint="eastAsia" w:ascii="仿宋" w:hAnsi="仿宋" w:eastAsia="仿宋"/>
          <w:color w:val="auto"/>
          <w:sz w:val="32"/>
          <w:szCs w:val="32"/>
          <w:u w:val="none"/>
          <w:lang w:val="en-US" w:eastAsia="zh-CN"/>
        </w:rPr>
      </w:pPr>
      <w:r>
        <w:rPr>
          <w:rFonts w:hint="eastAsia" w:ascii="仿宋" w:hAnsi="仿宋" w:eastAsia="仿宋" w:cs="宋体"/>
          <w:color w:val="auto"/>
          <w:kern w:val="0"/>
          <w:sz w:val="32"/>
          <w:szCs w:val="32"/>
          <w:u w:val="none"/>
          <w:lang w:val="en-US" w:eastAsia="zh-CN" w:bidi="ar-SA"/>
        </w:rPr>
        <w:t>8.探索构建适合开放教育形式的校园文化氛围做得还不够，要</w:t>
      </w:r>
      <w:r>
        <w:rPr>
          <w:rFonts w:hint="eastAsia" w:ascii="仿宋" w:hAnsi="仿宋" w:eastAsia="仿宋"/>
          <w:color w:val="auto"/>
          <w:sz w:val="32"/>
          <w:szCs w:val="32"/>
          <w:u w:val="none"/>
          <w:lang w:val="en-US" w:eastAsia="zh-CN"/>
        </w:rPr>
        <w:t>加强在各级主流媒体的宣传报道。</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olor w:val="auto"/>
          <w:sz w:val="32"/>
          <w:szCs w:val="32"/>
          <w:u w:val="none"/>
          <w:lang w:val="en-US" w:eastAsia="zh-CN"/>
        </w:rPr>
        <w:t>9.</w:t>
      </w:r>
      <w:r>
        <w:rPr>
          <w:rFonts w:hint="eastAsia" w:ascii="仿宋" w:hAnsi="仿宋" w:eastAsia="仿宋" w:cs="Calibri"/>
          <w:color w:val="auto"/>
          <w:kern w:val="2"/>
          <w:sz w:val="32"/>
          <w:szCs w:val="32"/>
          <w:u w:val="none"/>
          <w:lang w:val="en-US" w:eastAsia="zh-CN" w:bidi="ar-SA"/>
        </w:rPr>
        <w:t>要积极落实省校评价评估、检查督导等工作要求并有效整改。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10.要进一步</w:t>
      </w:r>
      <w:bookmarkStart w:id="0" w:name="_GoBack"/>
      <w:bookmarkEnd w:id="0"/>
      <w:r>
        <w:rPr>
          <w:rFonts w:hint="eastAsia" w:ascii="仿宋" w:hAnsi="仿宋" w:eastAsia="仿宋" w:cs="Calibri"/>
          <w:color w:val="auto"/>
          <w:kern w:val="2"/>
          <w:sz w:val="32"/>
          <w:szCs w:val="32"/>
          <w:u w:val="none"/>
          <w:lang w:val="en-US" w:eastAsia="zh-CN" w:bidi="ar-SA"/>
        </w:rPr>
        <w:t>加强校外实践基地建设，加强与企业、职业院校合作办学，更好地服务地方经济社会发展。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11.要建立健全社区教育体系，积极推动老年开放大学建设。</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Calibri"/>
          <w:color w:val="auto"/>
          <w:kern w:val="2"/>
          <w:sz w:val="32"/>
          <w:szCs w:val="32"/>
          <w:u w:val="none"/>
          <w:lang w:val="en-US" w:eastAsia="zh-CN" w:bidi="ar-SA"/>
        </w:rPr>
        <w:t>12.</w:t>
      </w:r>
      <w:r>
        <w:rPr>
          <w:rFonts w:hint="eastAsia" w:ascii="仿宋" w:hAnsi="仿宋" w:eastAsia="仿宋" w:cs="Times New Roman"/>
          <w:color w:val="auto"/>
          <w:sz w:val="32"/>
          <w:szCs w:val="32"/>
          <w:highlight w:val="none"/>
          <w:u w:val="none"/>
          <w:lang w:val="en-US" w:eastAsia="zh-CN"/>
        </w:rPr>
        <w:t>要加强在各级主流媒体的宣传报道。</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00" w:firstLineChars="200"/>
        <w:textAlignment w:val="auto"/>
        <w:rPr>
          <w:rFonts w:ascii="宋体" w:hAnsi="宋体" w:eastAsia="宋体"/>
          <w:color w:val="auto"/>
          <w:sz w:val="20"/>
          <w:szCs w:val="20"/>
          <w:u w:val="none"/>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宋体" w:hAnsi="宋体" w:eastAsia="宋体"/>
        <w:color w:val="000000"/>
        <w:sz w:val="18"/>
        <w:szCs w:val="18"/>
      </w:rPr>
    </w:pPr>
  </w:p>
  <w:p>
    <w:pPr>
      <w:snapToGrid w:val="0"/>
      <w:jc w:val="left"/>
      <w:rPr>
        <w:rFonts w:ascii="微软雅黑" w:hAnsi="微软雅黑" w:eastAsia="微软雅黑"/>
        <w:color w:val="000000"/>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jc w:val="left"/>
                            <w:rPr>
                              <w:sz w:val="28"/>
                              <w:szCs w:val="28"/>
                            </w:rPr>
                          </w:pPr>
                          <w:r>
                            <w:rPr>
                              <w:rFonts w:hint="default" w:asciiTheme="minorAscii" w:hAnsiTheme="minorAscii"/>
                              <w:sz w:val="28"/>
                              <w:szCs w:val="28"/>
                            </w:rPr>
                            <w:fldChar w:fldCharType="begin"/>
                          </w:r>
                          <w:r>
                            <w:rPr>
                              <w:rFonts w:hint="default" w:eastAsia="Calibri" w:asciiTheme="minorAscii" w:hAnsiTheme="minorAscii"/>
                              <w:sz w:val="28"/>
                              <w:szCs w:val="28"/>
                            </w:rPr>
                            <w:instrText xml:space="preserve">PAGE</w:instrText>
                          </w:r>
                          <w:r>
                            <w:rPr>
                              <w:rFonts w:hint="default" w:asciiTheme="minorAscii" w:hAnsiTheme="minorAscii"/>
                              <w:sz w:val="28"/>
                              <w:szCs w:val="28"/>
                            </w:rPr>
                            <w:fldChar w:fldCharType="separate"/>
                          </w:r>
                          <w:r>
                            <w:rPr>
                              <w:rFonts w:hint="default" w:eastAsia="Calibri" w:asciiTheme="minorAscii" w:hAnsiTheme="minorAscii"/>
                              <w:sz w:val="28"/>
                              <w:szCs w:val="28"/>
                            </w:rPr>
                            <w:t>1</w:t>
                          </w:r>
                          <w:r>
                            <w:rPr>
                              <w:rFonts w:hint="default" w:asciiTheme="minorAscii" w:hAnsiTheme="minorAscii"/>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jc w:val="left"/>
                      <w:rPr>
                        <w:sz w:val="28"/>
                        <w:szCs w:val="28"/>
                      </w:rPr>
                    </w:pPr>
                    <w:r>
                      <w:rPr>
                        <w:rFonts w:hint="default" w:asciiTheme="minorAscii" w:hAnsiTheme="minorAscii"/>
                        <w:sz w:val="28"/>
                        <w:szCs w:val="28"/>
                      </w:rPr>
                      <w:fldChar w:fldCharType="begin"/>
                    </w:r>
                    <w:r>
                      <w:rPr>
                        <w:rFonts w:hint="default" w:eastAsia="Calibri" w:asciiTheme="minorAscii" w:hAnsiTheme="minorAscii"/>
                        <w:sz w:val="28"/>
                        <w:szCs w:val="28"/>
                      </w:rPr>
                      <w:instrText xml:space="preserve">PAGE</w:instrText>
                    </w:r>
                    <w:r>
                      <w:rPr>
                        <w:rFonts w:hint="default" w:asciiTheme="minorAscii" w:hAnsiTheme="minorAscii"/>
                        <w:sz w:val="28"/>
                        <w:szCs w:val="28"/>
                      </w:rPr>
                      <w:fldChar w:fldCharType="separate"/>
                    </w:r>
                    <w:r>
                      <w:rPr>
                        <w:rFonts w:hint="default" w:eastAsia="Calibri" w:asciiTheme="minorAscii" w:hAnsiTheme="minorAscii"/>
                        <w:sz w:val="28"/>
                        <w:szCs w:val="28"/>
                      </w:rPr>
                      <w:t>1</w:t>
                    </w:r>
                    <w:r>
                      <w:rPr>
                        <w:rFonts w:hint="default" w:asciiTheme="minorAscii" w:hAnsiTheme="minorAscii"/>
                        <w:sz w:val="28"/>
                        <w:szCs w:val="28"/>
                      </w:rPr>
                      <w:fldChar w:fldCharType="end"/>
                    </w:r>
                  </w:p>
                </w:txbxContent>
              </v:textbox>
            </v:shape>
          </w:pict>
        </mc:Fallback>
      </mc:AlternateContent>
    </w:r>
  </w:p>
  <w:p>
    <w:pPr>
      <w:snapToGrid w:val="0"/>
      <w:jc w:val="left"/>
      <w:rPr>
        <w:rFonts w:ascii="微软雅黑" w:hAnsi="微软雅黑" w:eastAsia="微软雅黑"/>
        <w:color w:val="000000"/>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3AC21B"/>
    <w:multiLevelType w:val="singleLevel"/>
    <w:tmpl w:val="BC3AC21B"/>
    <w:lvl w:ilvl="0" w:tentative="0">
      <w:start w:val="6"/>
      <w:numFmt w:val="chineseCounting"/>
      <w:suff w:val="nothing"/>
      <w:lvlText w:val="%1、"/>
      <w:lvlJc w:val="left"/>
      <w:rPr>
        <w:rFonts w:hint="eastAsia"/>
      </w:rPr>
    </w:lvl>
  </w:abstractNum>
  <w:abstractNum w:abstractNumId="1">
    <w:nsid w:val="43D17113"/>
    <w:multiLevelType w:val="multilevel"/>
    <w:tmpl w:val="43D17113"/>
    <w:lvl w:ilvl="0" w:tentative="0">
      <w:start w:val="1"/>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NmY0NzcwZmVjMTcwMmU4MDY3ZmRiZDYwZDdhZTMifQ=="/>
  </w:docVars>
  <w:rsids>
    <w:rsidRoot w:val="00BA0C1A"/>
    <w:rsid w:val="0002174C"/>
    <w:rsid w:val="00033ECA"/>
    <w:rsid w:val="00042F81"/>
    <w:rsid w:val="000618E2"/>
    <w:rsid w:val="000A4783"/>
    <w:rsid w:val="000C3016"/>
    <w:rsid w:val="000C51B7"/>
    <w:rsid w:val="000C5929"/>
    <w:rsid w:val="000D4978"/>
    <w:rsid w:val="00100846"/>
    <w:rsid w:val="00110034"/>
    <w:rsid w:val="00112493"/>
    <w:rsid w:val="00117291"/>
    <w:rsid w:val="00124BB0"/>
    <w:rsid w:val="00143779"/>
    <w:rsid w:val="0016763B"/>
    <w:rsid w:val="00182F05"/>
    <w:rsid w:val="001858C6"/>
    <w:rsid w:val="001A21AF"/>
    <w:rsid w:val="001A22DE"/>
    <w:rsid w:val="001A4989"/>
    <w:rsid w:val="001B322B"/>
    <w:rsid w:val="001C6528"/>
    <w:rsid w:val="001D1021"/>
    <w:rsid w:val="001F4363"/>
    <w:rsid w:val="00203691"/>
    <w:rsid w:val="00214271"/>
    <w:rsid w:val="00216EB9"/>
    <w:rsid w:val="00230E3A"/>
    <w:rsid w:val="00237DA0"/>
    <w:rsid w:val="002405FD"/>
    <w:rsid w:val="002A5519"/>
    <w:rsid w:val="002B448A"/>
    <w:rsid w:val="002B7BFA"/>
    <w:rsid w:val="002F6628"/>
    <w:rsid w:val="00300E9F"/>
    <w:rsid w:val="00311CFE"/>
    <w:rsid w:val="00332F27"/>
    <w:rsid w:val="00361B66"/>
    <w:rsid w:val="0037267F"/>
    <w:rsid w:val="00373D13"/>
    <w:rsid w:val="00374F21"/>
    <w:rsid w:val="003864CE"/>
    <w:rsid w:val="003A14DF"/>
    <w:rsid w:val="003A1B17"/>
    <w:rsid w:val="003C2477"/>
    <w:rsid w:val="003D2115"/>
    <w:rsid w:val="003D35F5"/>
    <w:rsid w:val="003E7DB5"/>
    <w:rsid w:val="00400659"/>
    <w:rsid w:val="004173EA"/>
    <w:rsid w:val="00420F92"/>
    <w:rsid w:val="00441445"/>
    <w:rsid w:val="004421BE"/>
    <w:rsid w:val="00447D62"/>
    <w:rsid w:val="004522E8"/>
    <w:rsid w:val="004526B0"/>
    <w:rsid w:val="0046104C"/>
    <w:rsid w:val="004738E7"/>
    <w:rsid w:val="004751EC"/>
    <w:rsid w:val="004808AA"/>
    <w:rsid w:val="0049575E"/>
    <w:rsid w:val="00496BF4"/>
    <w:rsid w:val="004B1B61"/>
    <w:rsid w:val="004B32E9"/>
    <w:rsid w:val="004B60E3"/>
    <w:rsid w:val="004C2B46"/>
    <w:rsid w:val="004C5AEA"/>
    <w:rsid w:val="004D4EE1"/>
    <w:rsid w:val="004D4F4D"/>
    <w:rsid w:val="005019C1"/>
    <w:rsid w:val="00510448"/>
    <w:rsid w:val="00516937"/>
    <w:rsid w:val="00532996"/>
    <w:rsid w:val="00536F02"/>
    <w:rsid w:val="00552662"/>
    <w:rsid w:val="00555C3B"/>
    <w:rsid w:val="00556793"/>
    <w:rsid w:val="00572D98"/>
    <w:rsid w:val="0058384D"/>
    <w:rsid w:val="005850F2"/>
    <w:rsid w:val="0058550C"/>
    <w:rsid w:val="0059434C"/>
    <w:rsid w:val="0059531B"/>
    <w:rsid w:val="005E024C"/>
    <w:rsid w:val="005E5419"/>
    <w:rsid w:val="005F326D"/>
    <w:rsid w:val="00604548"/>
    <w:rsid w:val="00605B40"/>
    <w:rsid w:val="00616505"/>
    <w:rsid w:val="0062213C"/>
    <w:rsid w:val="00630EDB"/>
    <w:rsid w:val="00633F40"/>
    <w:rsid w:val="006356A1"/>
    <w:rsid w:val="00635C35"/>
    <w:rsid w:val="006549AD"/>
    <w:rsid w:val="00656A2F"/>
    <w:rsid w:val="006600C8"/>
    <w:rsid w:val="00661C0B"/>
    <w:rsid w:val="006664D2"/>
    <w:rsid w:val="00684D9C"/>
    <w:rsid w:val="00687E2F"/>
    <w:rsid w:val="006C24A7"/>
    <w:rsid w:val="006C4911"/>
    <w:rsid w:val="006D2C1F"/>
    <w:rsid w:val="006D4CA7"/>
    <w:rsid w:val="006D6A15"/>
    <w:rsid w:val="006E0E5B"/>
    <w:rsid w:val="006E32C8"/>
    <w:rsid w:val="00715906"/>
    <w:rsid w:val="007320FE"/>
    <w:rsid w:val="00756FFE"/>
    <w:rsid w:val="00762ABD"/>
    <w:rsid w:val="00775890"/>
    <w:rsid w:val="007915C1"/>
    <w:rsid w:val="00795C44"/>
    <w:rsid w:val="007A5268"/>
    <w:rsid w:val="007A6477"/>
    <w:rsid w:val="00804399"/>
    <w:rsid w:val="00804833"/>
    <w:rsid w:val="00805AD7"/>
    <w:rsid w:val="00824636"/>
    <w:rsid w:val="008249FA"/>
    <w:rsid w:val="0085456A"/>
    <w:rsid w:val="00860EDC"/>
    <w:rsid w:val="00882395"/>
    <w:rsid w:val="0088285A"/>
    <w:rsid w:val="00893C48"/>
    <w:rsid w:val="009039B6"/>
    <w:rsid w:val="00926293"/>
    <w:rsid w:val="00944CA9"/>
    <w:rsid w:val="009518B3"/>
    <w:rsid w:val="00952078"/>
    <w:rsid w:val="00976311"/>
    <w:rsid w:val="00982253"/>
    <w:rsid w:val="00993317"/>
    <w:rsid w:val="009A436B"/>
    <w:rsid w:val="009B2A56"/>
    <w:rsid w:val="009B4AE8"/>
    <w:rsid w:val="009B68A6"/>
    <w:rsid w:val="009B750B"/>
    <w:rsid w:val="009C71A4"/>
    <w:rsid w:val="009E3CF0"/>
    <w:rsid w:val="00A20789"/>
    <w:rsid w:val="00A21542"/>
    <w:rsid w:val="00A34A8F"/>
    <w:rsid w:val="00A56085"/>
    <w:rsid w:val="00A57CC1"/>
    <w:rsid w:val="00A60633"/>
    <w:rsid w:val="00A629FF"/>
    <w:rsid w:val="00A704F6"/>
    <w:rsid w:val="00AA259C"/>
    <w:rsid w:val="00AB3D75"/>
    <w:rsid w:val="00AC1F92"/>
    <w:rsid w:val="00AC3AF5"/>
    <w:rsid w:val="00B017A9"/>
    <w:rsid w:val="00B220C3"/>
    <w:rsid w:val="00B25570"/>
    <w:rsid w:val="00B4363B"/>
    <w:rsid w:val="00B44A36"/>
    <w:rsid w:val="00B57CCC"/>
    <w:rsid w:val="00B711E6"/>
    <w:rsid w:val="00BA0C1A"/>
    <w:rsid w:val="00BA6850"/>
    <w:rsid w:val="00BB5874"/>
    <w:rsid w:val="00BE7C65"/>
    <w:rsid w:val="00C061CB"/>
    <w:rsid w:val="00C232D1"/>
    <w:rsid w:val="00C33689"/>
    <w:rsid w:val="00C362E8"/>
    <w:rsid w:val="00C3703B"/>
    <w:rsid w:val="00C45396"/>
    <w:rsid w:val="00C52F90"/>
    <w:rsid w:val="00C56FAA"/>
    <w:rsid w:val="00C604EC"/>
    <w:rsid w:val="00C70B1B"/>
    <w:rsid w:val="00C83AE0"/>
    <w:rsid w:val="00C84BEF"/>
    <w:rsid w:val="00C85EEE"/>
    <w:rsid w:val="00C95206"/>
    <w:rsid w:val="00CD6B9B"/>
    <w:rsid w:val="00CE3591"/>
    <w:rsid w:val="00CE65DA"/>
    <w:rsid w:val="00CF0F79"/>
    <w:rsid w:val="00D116A3"/>
    <w:rsid w:val="00D12543"/>
    <w:rsid w:val="00D160B6"/>
    <w:rsid w:val="00D27EC7"/>
    <w:rsid w:val="00D518F4"/>
    <w:rsid w:val="00D779C6"/>
    <w:rsid w:val="00D802AF"/>
    <w:rsid w:val="00D8619B"/>
    <w:rsid w:val="00D87581"/>
    <w:rsid w:val="00D94A24"/>
    <w:rsid w:val="00D9744A"/>
    <w:rsid w:val="00D97F5F"/>
    <w:rsid w:val="00DA7781"/>
    <w:rsid w:val="00DB3A02"/>
    <w:rsid w:val="00DC675B"/>
    <w:rsid w:val="00DD151E"/>
    <w:rsid w:val="00DD4B6C"/>
    <w:rsid w:val="00DD6E33"/>
    <w:rsid w:val="00DE26F7"/>
    <w:rsid w:val="00DE791B"/>
    <w:rsid w:val="00DF7FD8"/>
    <w:rsid w:val="00E024EE"/>
    <w:rsid w:val="00E04258"/>
    <w:rsid w:val="00E05877"/>
    <w:rsid w:val="00E07FC6"/>
    <w:rsid w:val="00E26251"/>
    <w:rsid w:val="00E307B2"/>
    <w:rsid w:val="00E3243E"/>
    <w:rsid w:val="00E33E9D"/>
    <w:rsid w:val="00E359F3"/>
    <w:rsid w:val="00E60644"/>
    <w:rsid w:val="00E61AAA"/>
    <w:rsid w:val="00E658E5"/>
    <w:rsid w:val="00E81E67"/>
    <w:rsid w:val="00E85511"/>
    <w:rsid w:val="00E867F0"/>
    <w:rsid w:val="00E87B85"/>
    <w:rsid w:val="00E96575"/>
    <w:rsid w:val="00E97AA7"/>
    <w:rsid w:val="00EA1EE8"/>
    <w:rsid w:val="00EA4500"/>
    <w:rsid w:val="00EC00FD"/>
    <w:rsid w:val="00EC28CF"/>
    <w:rsid w:val="00ED5525"/>
    <w:rsid w:val="00EE2704"/>
    <w:rsid w:val="00EE5F16"/>
    <w:rsid w:val="00EF3012"/>
    <w:rsid w:val="00F00F1C"/>
    <w:rsid w:val="00F026C1"/>
    <w:rsid w:val="00F05E36"/>
    <w:rsid w:val="00F133C8"/>
    <w:rsid w:val="00F16DB1"/>
    <w:rsid w:val="00F20B25"/>
    <w:rsid w:val="00F3201B"/>
    <w:rsid w:val="00F32BA3"/>
    <w:rsid w:val="00F51F34"/>
    <w:rsid w:val="00F53662"/>
    <w:rsid w:val="00F74307"/>
    <w:rsid w:val="00F7489D"/>
    <w:rsid w:val="00F83D3D"/>
    <w:rsid w:val="00F858E3"/>
    <w:rsid w:val="00F862F8"/>
    <w:rsid w:val="00FA0DC6"/>
    <w:rsid w:val="00FA2B2E"/>
    <w:rsid w:val="00FA7F47"/>
    <w:rsid w:val="00FB0200"/>
    <w:rsid w:val="00FB1092"/>
    <w:rsid w:val="00FB2C2A"/>
    <w:rsid w:val="00FB3CED"/>
    <w:rsid w:val="00FD6F8D"/>
    <w:rsid w:val="03304D18"/>
    <w:rsid w:val="03F52B33"/>
    <w:rsid w:val="04EF43C3"/>
    <w:rsid w:val="083D07F0"/>
    <w:rsid w:val="08642E79"/>
    <w:rsid w:val="1030763E"/>
    <w:rsid w:val="105E3B74"/>
    <w:rsid w:val="10615367"/>
    <w:rsid w:val="10F863AD"/>
    <w:rsid w:val="158766E3"/>
    <w:rsid w:val="17ED5B87"/>
    <w:rsid w:val="191E3119"/>
    <w:rsid w:val="1C2C4424"/>
    <w:rsid w:val="1CD54CE6"/>
    <w:rsid w:val="1DEC38DC"/>
    <w:rsid w:val="1F1D6D27"/>
    <w:rsid w:val="1FA354BF"/>
    <w:rsid w:val="20DA51A0"/>
    <w:rsid w:val="25356522"/>
    <w:rsid w:val="2D41557E"/>
    <w:rsid w:val="2D4F22CC"/>
    <w:rsid w:val="30456175"/>
    <w:rsid w:val="3378255C"/>
    <w:rsid w:val="36772279"/>
    <w:rsid w:val="37DB65A1"/>
    <w:rsid w:val="37F272A4"/>
    <w:rsid w:val="38F60EB1"/>
    <w:rsid w:val="3936686D"/>
    <w:rsid w:val="3D65276D"/>
    <w:rsid w:val="3DF958CD"/>
    <w:rsid w:val="434067C1"/>
    <w:rsid w:val="49CA7BE0"/>
    <w:rsid w:val="4CAC3328"/>
    <w:rsid w:val="4DDA57EA"/>
    <w:rsid w:val="4E6A5BF2"/>
    <w:rsid w:val="4E8F11B8"/>
    <w:rsid w:val="4EC75F7B"/>
    <w:rsid w:val="4ECC48C2"/>
    <w:rsid w:val="52CC2CA5"/>
    <w:rsid w:val="54706D4E"/>
    <w:rsid w:val="568D20C3"/>
    <w:rsid w:val="56987F99"/>
    <w:rsid w:val="5B677F8C"/>
    <w:rsid w:val="5EF00A9F"/>
    <w:rsid w:val="5F1C1BAE"/>
    <w:rsid w:val="62E05D0C"/>
    <w:rsid w:val="654B3E73"/>
    <w:rsid w:val="66C06C9B"/>
    <w:rsid w:val="67866D67"/>
    <w:rsid w:val="6A606537"/>
    <w:rsid w:val="6CC938CF"/>
    <w:rsid w:val="6D593051"/>
    <w:rsid w:val="6EAF13B0"/>
    <w:rsid w:val="71061E72"/>
    <w:rsid w:val="72A1178F"/>
    <w:rsid w:val="764E0FCD"/>
    <w:rsid w:val="76C42EC8"/>
    <w:rsid w:val="7A00297F"/>
    <w:rsid w:val="7A3B2499"/>
    <w:rsid w:val="7BB26229"/>
    <w:rsid w:val="7BDF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7"/>
    <w:qFormat/>
    <w:uiPriority w:val="99"/>
    <w:pPr>
      <w:spacing w:after="120"/>
    </w:pPr>
    <w:rPr>
      <w:rFonts w:ascii="Calibri" w:hAnsi="Calibri" w:eastAsia="宋体" w:cs="Times New Roman"/>
      <w:szCs w:val="24"/>
    </w:r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5">
    <w:name w:val="annotation text"/>
    <w:basedOn w:val="1"/>
    <w:semiHidden/>
    <w:unhideWhenUsed/>
    <w:qFormat/>
    <w:uiPriority w:val="99"/>
    <w:pPr>
      <w:jc w:val="left"/>
    </w:pPr>
  </w:style>
  <w:style w:type="paragraph" w:styleId="6">
    <w:name w:val="Balloon Text"/>
    <w:basedOn w:val="1"/>
    <w:link w:val="18"/>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8"/>
    <w:semiHidden/>
    <w:qFormat/>
    <w:uiPriority w:val="99"/>
    <w:rPr>
      <w:sz w:val="18"/>
      <w:szCs w:val="18"/>
    </w:rPr>
  </w:style>
  <w:style w:type="character" w:customStyle="1" w:styleId="15">
    <w:name w:val="页脚 字符"/>
    <w:basedOn w:val="12"/>
    <w:link w:val="7"/>
    <w:semiHidden/>
    <w:qFormat/>
    <w:uiPriority w:val="99"/>
    <w:rPr>
      <w:sz w:val="18"/>
      <w:szCs w:val="18"/>
    </w:rPr>
  </w:style>
  <w:style w:type="paragraph" w:styleId="16">
    <w:name w:val="List Paragraph"/>
    <w:basedOn w:val="1"/>
    <w:qFormat/>
    <w:uiPriority w:val="99"/>
    <w:pPr>
      <w:ind w:firstLine="420" w:firstLineChars="200"/>
    </w:pPr>
  </w:style>
  <w:style w:type="character" w:customStyle="1" w:styleId="17">
    <w:name w:val="正文文本 字符"/>
    <w:basedOn w:val="12"/>
    <w:link w:val="2"/>
    <w:qFormat/>
    <w:uiPriority w:val="99"/>
    <w:rPr>
      <w:rFonts w:ascii="Calibri" w:hAnsi="Calibri" w:eastAsia="宋体" w:cs="Times New Roman"/>
      <w:kern w:val="2"/>
      <w:sz w:val="21"/>
      <w:szCs w:val="24"/>
    </w:rPr>
  </w:style>
  <w:style w:type="character" w:customStyle="1" w:styleId="18">
    <w:name w:val="批注框文本 字符"/>
    <w:basedOn w:val="12"/>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98680F-C350-4E14-B628-9DC02A3BB1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8535</Words>
  <Characters>9217</Characters>
  <Lines>76</Lines>
  <Paragraphs>21</Paragraphs>
  <TotalTime>0</TotalTime>
  <ScaleCrop>false</ScaleCrop>
  <LinksUpToDate>false</LinksUpToDate>
  <CharactersWithSpaces>9238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青</cp:lastModifiedBy>
  <cp:lastPrinted>2022-06-15T05:10:00Z</cp:lastPrinted>
  <dcterms:modified xsi:type="dcterms:W3CDTF">2022-07-27T11:08:38Z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BD37BE746EED4B838D6FE7730D2DC452</vt:lpwstr>
  </property>
</Properties>
</file>