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624EB">
      <w:pPr>
        <w:spacing w:before="146" w:line="221" w:lineRule="auto"/>
        <w:ind w:left="3086"/>
        <w:outlineLvl w:val="1"/>
        <w:rPr>
          <w:rFonts w:ascii="黑体" w:hAnsi="黑体" w:eastAsia="黑体" w:cs="黑体"/>
          <w:sz w:val="30"/>
          <w:szCs w:val="30"/>
        </w:rPr>
      </w:pPr>
      <w:r>
        <w:rPr>
          <w:rFonts w:ascii="黑体" w:hAnsi="黑体" w:eastAsia="黑体" w:cs="黑体"/>
          <w:b/>
          <w:bCs/>
          <w:spacing w:val="-4"/>
          <w:sz w:val="30"/>
          <w:szCs w:val="30"/>
        </w:rPr>
        <w:t>江西开放大学开放教育</w:t>
      </w:r>
    </w:p>
    <w:p w14:paraId="372BB6C1">
      <w:pPr>
        <w:spacing w:before="265" w:line="218" w:lineRule="auto"/>
        <w:ind w:left="2031"/>
        <w:rPr>
          <w:rFonts w:ascii="黑体" w:hAnsi="黑体" w:eastAsia="黑体" w:cs="黑体"/>
          <w:sz w:val="30"/>
          <w:szCs w:val="30"/>
        </w:rPr>
      </w:pPr>
      <w:r>
        <w:rPr>
          <w:rFonts w:ascii="黑体" w:hAnsi="黑体" w:eastAsia="黑体" w:cs="黑体"/>
          <w:b/>
          <w:bCs/>
          <w:spacing w:val="-3"/>
          <w:sz w:val="30"/>
          <w:szCs w:val="30"/>
        </w:rPr>
        <w:t>会计学专业（本科）综合实践实施方案</w:t>
      </w:r>
    </w:p>
    <w:p w14:paraId="3DD8C8A3">
      <w:pPr>
        <w:spacing w:line="422" w:lineRule="auto"/>
        <w:rPr>
          <w:rFonts w:ascii="Arial"/>
          <w:sz w:val="21"/>
        </w:rPr>
      </w:pPr>
    </w:p>
    <w:p w14:paraId="44EF1377">
      <w:pPr>
        <w:keepNext w:val="0"/>
        <w:keepLines w:val="0"/>
        <w:pageBreakBefore w:val="0"/>
        <w:widowControl/>
        <w:kinsoku w:val="0"/>
        <w:wordWrap/>
        <w:overflowPunct/>
        <w:topLinePunct w:val="0"/>
        <w:autoSpaceDE w:val="0"/>
        <w:autoSpaceDN w:val="0"/>
        <w:bidi w:val="0"/>
        <w:adjustRightInd w:val="0"/>
        <w:snapToGrid w:val="0"/>
        <w:spacing w:before="78" w:line="560" w:lineRule="exact"/>
        <w:ind w:left="364"/>
        <w:textAlignment w:val="baseline"/>
        <w:rPr>
          <w:rFonts w:ascii="Arial"/>
          <w:sz w:val="21"/>
        </w:rPr>
      </w:pPr>
      <w:r>
        <w:rPr>
          <w:rFonts w:ascii="黑体" w:hAnsi="黑体" w:eastAsia="黑体" w:cs="黑体"/>
          <w:b/>
          <w:bCs/>
          <w:spacing w:val="-3"/>
          <w:sz w:val="24"/>
          <w:szCs w:val="24"/>
        </w:rPr>
        <w:t>一、会计学专业（本科）毕业论文教学实施细则</w:t>
      </w:r>
    </w:p>
    <w:p w14:paraId="650301D4">
      <w:pPr>
        <w:pStyle w:val="2"/>
        <w:keepNext w:val="0"/>
        <w:keepLines w:val="0"/>
        <w:pageBreakBefore w:val="0"/>
        <w:widowControl/>
        <w:kinsoku w:val="0"/>
        <w:wordWrap/>
        <w:overflowPunct/>
        <w:topLinePunct w:val="0"/>
        <w:autoSpaceDE w:val="0"/>
        <w:autoSpaceDN w:val="0"/>
        <w:bidi w:val="0"/>
        <w:adjustRightInd w:val="0"/>
        <w:snapToGrid w:val="0"/>
        <w:spacing w:before="78" w:line="560" w:lineRule="exact"/>
        <w:ind w:right="123" w:firstLine="485"/>
        <w:jc w:val="both"/>
        <w:textAlignment w:val="baseline"/>
        <w:rPr>
          <w:spacing w:val="-3"/>
        </w:rPr>
      </w:pPr>
      <w:r>
        <w:t>毕业论文是根据专业教学的要求，对学生所学</w:t>
      </w:r>
      <w:r>
        <w:rPr>
          <w:spacing w:val="-1"/>
        </w:rPr>
        <w:t>知识和理论进行综合运用的培训，旨</w:t>
      </w:r>
      <w:r>
        <w:t>在培养学生的专业研究素养，提高分析和解决问题的能力，使学</w:t>
      </w:r>
      <w:r>
        <w:rPr>
          <w:spacing w:val="-1"/>
        </w:rPr>
        <w:t>生的创新意识和专业素</w:t>
      </w:r>
      <w:r>
        <w:rPr>
          <w:spacing w:val="-3"/>
        </w:rPr>
        <w:t>质得到提升，使学生的创造性得以发挥。</w:t>
      </w:r>
    </w:p>
    <w:p w14:paraId="4691B02A">
      <w:pPr>
        <w:pStyle w:val="2"/>
        <w:keepNext w:val="0"/>
        <w:keepLines w:val="0"/>
        <w:pageBreakBefore w:val="0"/>
        <w:widowControl/>
        <w:kinsoku w:val="0"/>
        <w:wordWrap/>
        <w:overflowPunct/>
        <w:topLinePunct w:val="0"/>
        <w:autoSpaceDE w:val="0"/>
        <w:autoSpaceDN w:val="0"/>
        <w:bidi w:val="0"/>
        <w:adjustRightInd w:val="0"/>
        <w:snapToGrid w:val="0"/>
        <w:spacing w:before="78" w:line="560" w:lineRule="exact"/>
        <w:ind w:right="123" w:firstLine="485"/>
        <w:jc w:val="both"/>
        <w:textAlignment w:val="baseline"/>
        <w:rPr>
          <w:rFonts w:ascii="Arial"/>
          <w:sz w:val="21"/>
        </w:rPr>
      </w:pPr>
      <w:r>
        <w:rPr>
          <w:b/>
          <w:bCs/>
          <w:spacing w:val="-8"/>
        </w:rPr>
        <w:t>（一）选题原则</w:t>
      </w:r>
    </w:p>
    <w:p w14:paraId="25532E09">
      <w:pPr>
        <w:pStyle w:val="2"/>
        <w:keepNext w:val="0"/>
        <w:keepLines w:val="0"/>
        <w:pageBreakBefore w:val="0"/>
        <w:widowControl/>
        <w:kinsoku w:val="0"/>
        <w:wordWrap/>
        <w:overflowPunct/>
        <w:topLinePunct w:val="0"/>
        <w:autoSpaceDE w:val="0"/>
        <w:autoSpaceDN w:val="0"/>
        <w:bidi w:val="0"/>
        <w:adjustRightInd w:val="0"/>
        <w:snapToGrid w:val="0"/>
        <w:spacing w:before="78" w:line="560" w:lineRule="exact"/>
        <w:ind w:firstLine="480"/>
        <w:jc w:val="both"/>
        <w:textAlignment w:val="baseline"/>
        <w:rPr>
          <w:spacing w:val="-2"/>
        </w:rPr>
      </w:pPr>
      <w:r>
        <w:t>选题应符合专业培养目标和教学要求，以学生所学专业课的</w:t>
      </w:r>
      <w:r>
        <w:rPr>
          <w:spacing w:val="-1"/>
        </w:rPr>
        <w:t>内容为主，不应脱离专</w:t>
      </w:r>
      <w:r>
        <w:t>业范围，要有一定的综合性，具有一定的深度和广度；题目大小</w:t>
      </w:r>
      <w:r>
        <w:rPr>
          <w:spacing w:val="-1"/>
        </w:rPr>
        <w:t>适中，对实际工作有一</w:t>
      </w:r>
      <w:r>
        <w:t>定指导意义；应结合当前科技和经济发展，尽可能选择与社会发</w:t>
      </w:r>
      <w:r>
        <w:rPr>
          <w:spacing w:val="-1"/>
        </w:rPr>
        <w:t>展及本地区、本单位实</w:t>
      </w:r>
      <w:r>
        <w:rPr>
          <w:spacing w:val="-3"/>
        </w:rPr>
        <w:t>际工作相结合的题目。选题应鼓励学术创新，避免选择已经完全得到</w:t>
      </w:r>
      <w:r>
        <w:rPr>
          <w:spacing w:val="-4"/>
        </w:rPr>
        <w:t>解决的常识性问题；</w:t>
      </w:r>
      <w:r>
        <w:rPr>
          <w:spacing w:val="-1"/>
        </w:rPr>
        <w:t>鼓励选择同国家的建设与发展密切相关的现实问</w:t>
      </w:r>
      <w:r>
        <w:rPr>
          <w:spacing w:val="-2"/>
        </w:rPr>
        <w:t>题</w:t>
      </w:r>
      <w:r>
        <w:rPr>
          <w:rFonts w:hint="eastAsia"/>
          <w:spacing w:val="-2"/>
          <w:lang w:eastAsia="zh-CN"/>
        </w:rPr>
        <w:t>，</w:t>
      </w:r>
      <w:r>
        <w:rPr>
          <w:spacing w:val="-2"/>
        </w:rPr>
        <w:t>鼓励解决实际问题。</w:t>
      </w:r>
    </w:p>
    <w:p w14:paraId="7EFD0FB8">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78" w:line="560" w:lineRule="exact"/>
        <w:ind w:firstLine="480"/>
        <w:jc w:val="both"/>
        <w:textAlignment w:val="baseline"/>
        <w:rPr>
          <w:b/>
          <w:bCs/>
          <w:spacing w:val="-8"/>
        </w:rPr>
      </w:pPr>
      <w:r>
        <w:rPr>
          <w:b/>
          <w:bCs/>
          <w:spacing w:val="-8"/>
        </w:rPr>
        <w:t>要求</w:t>
      </w:r>
    </w:p>
    <w:p w14:paraId="5E79A8F5">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560" w:lineRule="exact"/>
        <w:ind w:firstLine="448" w:firstLineChars="200"/>
        <w:jc w:val="both"/>
        <w:textAlignment w:val="baseline"/>
        <w:rPr>
          <w:rFonts w:hint="default" w:eastAsia="宋体"/>
          <w:b w:val="0"/>
          <w:bCs w:val="0"/>
          <w:spacing w:val="-8"/>
          <w:lang w:val="en-US" w:eastAsia="zh-CN"/>
        </w:rPr>
      </w:pPr>
      <w:r>
        <w:rPr>
          <w:rFonts w:hint="eastAsia"/>
          <w:b w:val="0"/>
          <w:bCs w:val="0"/>
          <w:spacing w:val="-8"/>
          <w:lang w:val="en-US" w:eastAsia="zh-CN"/>
        </w:rPr>
        <w:t>1.论文要求</w:t>
      </w:r>
    </w:p>
    <w:p w14:paraId="0A21D7FC">
      <w:pPr>
        <w:pStyle w:val="2"/>
        <w:keepNext w:val="0"/>
        <w:keepLines w:val="0"/>
        <w:pageBreakBefore w:val="0"/>
        <w:widowControl/>
        <w:kinsoku w:val="0"/>
        <w:wordWrap/>
        <w:overflowPunct/>
        <w:topLinePunct w:val="0"/>
        <w:autoSpaceDE w:val="0"/>
        <w:autoSpaceDN w:val="0"/>
        <w:bidi w:val="0"/>
        <w:adjustRightInd w:val="0"/>
        <w:snapToGrid w:val="0"/>
        <w:spacing w:before="78" w:line="560" w:lineRule="exact"/>
        <w:ind w:firstLine="480"/>
        <w:jc w:val="both"/>
        <w:textAlignment w:val="baseline"/>
        <w:rPr>
          <w:rFonts w:hint="eastAsia"/>
          <w:lang w:eastAsia="zh-CN"/>
        </w:rPr>
      </w:pPr>
      <w:r>
        <w:t>凡修完本专业全部必修课程，已修课程学分达到全部课程总学分80％以上的学生，经申请可参加毕业论文实践教学。毕业论文为各专业学生必修环节，不得免修</w:t>
      </w:r>
      <w:r>
        <w:rPr>
          <w:rFonts w:hint="eastAsia"/>
          <w:lang w:eastAsia="zh-CN"/>
        </w:rPr>
        <w:t>。</w:t>
      </w:r>
    </w:p>
    <w:p w14:paraId="6F36CA9F">
      <w:pPr>
        <w:pStyle w:val="2"/>
        <w:keepNext w:val="0"/>
        <w:keepLines w:val="0"/>
        <w:pageBreakBefore w:val="0"/>
        <w:widowControl/>
        <w:kinsoku w:val="0"/>
        <w:wordWrap/>
        <w:overflowPunct/>
        <w:topLinePunct w:val="0"/>
        <w:autoSpaceDE w:val="0"/>
        <w:autoSpaceDN w:val="0"/>
        <w:bidi w:val="0"/>
        <w:adjustRightInd w:val="0"/>
        <w:snapToGrid w:val="0"/>
        <w:spacing w:before="78" w:line="560" w:lineRule="exact"/>
        <w:ind w:firstLine="480"/>
        <w:jc w:val="both"/>
        <w:textAlignment w:val="baseline"/>
      </w:pPr>
      <w:r>
        <w:t>毕业论文应由学生本人在指导教师的指导下独立完成，杜绝一切抄袭、剽窃行为。毕业论文应做到观点新颖、明确，材料翔实、有力，结构完整、谨严，语言通顺。毕业论文应当具备学术文体的一般特征。调查报告、工作总结及文学作品等各类非学术文体的文章不能作为毕业论文提出。</w:t>
      </w:r>
    </w:p>
    <w:p w14:paraId="06769472">
      <w:pPr>
        <w:pStyle w:val="2"/>
        <w:keepNext w:val="0"/>
        <w:keepLines w:val="0"/>
        <w:pageBreakBefore w:val="0"/>
        <w:widowControl/>
        <w:kinsoku w:val="0"/>
        <w:wordWrap/>
        <w:overflowPunct/>
        <w:topLinePunct/>
        <w:autoSpaceDE w:val="0"/>
        <w:autoSpaceDN/>
        <w:bidi w:val="0"/>
        <w:adjustRightInd w:val="0"/>
        <w:snapToGrid w:val="0"/>
        <w:spacing w:before="78" w:line="560" w:lineRule="exact"/>
        <w:ind w:firstLine="480" w:firstLineChars="200"/>
        <w:jc w:val="both"/>
        <w:textAlignment w:val="baseline"/>
        <w:rPr>
          <w:sz w:val="24"/>
          <w:szCs w:val="24"/>
        </w:rPr>
      </w:pPr>
      <w:r>
        <w:rPr>
          <w:sz w:val="24"/>
          <w:szCs w:val="24"/>
        </w:rPr>
        <w:t>毕业论文主要内容包括：摘要、目录、正文、参考文献。专业所需的图纸、测试数据以及计算机程序清单、软盘等相关材料。所引用的中外文参考文献资料</w:t>
      </w:r>
      <w:r>
        <w:rPr>
          <w:rFonts w:hint="eastAsia"/>
          <w:sz w:val="24"/>
          <w:szCs w:val="24"/>
          <w:lang w:eastAsia="zh-CN"/>
        </w:rPr>
        <w:t>，</w:t>
      </w:r>
      <w:r>
        <w:rPr>
          <w:sz w:val="24"/>
          <w:szCs w:val="24"/>
        </w:rPr>
        <w:t>必须注明引用教材（或著作、期刊等）的书名（或著作、期刊名）、作者、出版单位、时间（引用期刊的还必须注明文章名）。引用其他参考材料也应注明资料来源。</w:t>
      </w:r>
    </w:p>
    <w:p w14:paraId="3D195D0D">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毕业论文字数一般不少于6000字，不超过10000字。毕业论文要统一格式，统一封面，统一使用A4纸进行文字打印及装订。</w:t>
      </w:r>
    </w:p>
    <w:p w14:paraId="4BD0877C">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default"/>
          <w:sz w:val="24"/>
          <w:szCs w:val="24"/>
          <w:lang w:val="en-US" w:eastAsia="zh-CN"/>
        </w:rPr>
      </w:pPr>
      <w:r>
        <w:rPr>
          <w:rFonts w:hint="eastAsia"/>
          <w:sz w:val="24"/>
          <w:szCs w:val="24"/>
          <w:lang w:val="en-US" w:eastAsia="zh-CN"/>
        </w:rPr>
        <w:t>2.指导教师要求</w:t>
      </w:r>
    </w:p>
    <w:p w14:paraId="05B8F30B">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w:t>
      </w:r>
      <w:r>
        <w:rPr>
          <w:rFonts w:hint="eastAsia"/>
          <w:sz w:val="24"/>
          <w:szCs w:val="24"/>
          <w:lang w:val="en-US" w:eastAsia="zh-CN"/>
        </w:rPr>
        <w:t>1</w:t>
      </w:r>
      <w:r>
        <w:rPr>
          <w:sz w:val="24"/>
          <w:szCs w:val="24"/>
        </w:rPr>
        <w:t>）政治素养：坚持党的教育方针，热爱教育事业，具有良好的职业道德和敬业精神，能认真履行毕业论文指导教师职责，遵守学术道德规范，严谨治学。</w:t>
      </w:r>
    </w:p>
    <w:p w14:paraId="68A7684C">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w:t>
      </w:r>
      <w:r>
        <w:rPr>
          <w:rFonts w:hint="eastAsia"/>
          <w:sz w:val="24"/>
          <w:szCs w:val="24"/>
          <w:lang w:val="en-US" w:eastAsia="zh-CN"/>
        </w:rPr>
        <w:t>2</w:t>
      </w:r>
      <w:r>
        <w:rPr>
          <w:sz w:val="24"/>
          <w:szCs w:val="24"/>
        </w:rPr>
        <w:t>）专业能力：具有相应专业本科及以上学历，且有中级及以上专业技术职务资格</w:t>
      </w:r>
      <w:r>
        <w:rPr>
          <w:rFonts w:hint="eastAsia"/>
          <w:sz w:val="24"/>
          <w:szCs w:val="24"/>
          <w:lang w:eastAsia="zh-CN"/>
        </w:rPr>
        <w:t>；</w:t>
      </w:r>
      <w:r>
        <w:rPr>
          <w:sz w:val="24"/>
          <w:szCs w:val="24"/>
        </w:rPr>
        <w:t>专科毕业论文指导教师条件可视具体情况适当放宽。</w:t>
      </w:r>
    </w:p>
    <w:p w14:paraId="66017DD0">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w:t>
      </w:r>
      <w:r>
        <w:rPr>
          <w:rFonts w:hint="eastAsia"/>
          <w:sz w:val="24"/>
          <w:szCs w:val="24"/>
          <w:lang w:val="en-US" w:eastAsia="zh-CN"/>
        </w:rPr>
        <w:t>3</w:t>
      </w:r>
      <w:r>
        <w:rPr>
          <w:sz w:val="24"/>
          <w:szCs w:val="24"/>
        </w:rPr>
        <w:t>）教学经验：具有三年以上本专业课程教学经历，熟悉开放教育教学特点和规律，能够有效指导学生开展毕业论文撰写工作；近三年无教学事故。</w:t>
      </w:r>
    </w:p>
    <w:p w14:paraId="3C0546EB">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w:t>
      </w:r>
      <w:r>
        <w:rPr>
          <w:rFonts w:hint="eastAsia"/>
          <w:sz w:val="24"/>
          <w:szCs w:val="24"/>
          <w:lang w:val="en-US" w:eastAsia="zh-CN"/>
        </w:rPr>
        <w:t>4</w:t>
      </w:r>
      <w:r>
        <w:rPr>
          <w:sz w:val="24"/>
          <w:szCs w:val="24"/>
        </w:rPr>
        <w:t>）精力保障：有充足的时间和精力承担毕业论文指导工作，专职教师指导的同一届各类各层次学生总数不多于15人，兼职教师不多于10人。专职教师同时指导的各类学生数一般每人不超过30人，兼职指导教师同时指导的各类学生数一般每人不超过20人。</w:t>
      </w:r>
    </w:p>
    <w:p w14:paraId="0C15218B">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default"/>
          <w:sz w:val="24"/>
          <w:szCs w:val="24"/>
          <w:lang w:val="en-US" w:eastAsia="zh-CN"/>
        </w:rPr>
      </w:pPr>
      <w:r>
        <w:rPr>
          <w:rFonts w:hint="eastAsia"/>
          <w:sz w:val="24"/>
          <w:szCs w:val="24"/>
          <w:lang w:val="en-US" w:eastAsia="zh-CN"/>
        </w:rPr>
        <w:t>3.指导教师职责</w:t>
      </w:r>
    </w:p>
    <w:p w14:paraId="11707A0A">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w:t>
      </w:r>
      <w:r>
        <w:rPr>
          <w:rFonts w:hint="eastAsia"/>
          <w:sz w:val="24"/>
          <w:szCs w:val="24"/>
          <w:lang w:val="en-US" w:eastAsia="zh-CN"/>
        </w:rPr>
        <w:t>1</w:t>
      </w:r>
      <w:r>
        <w:rPr>
          <w:sz w:val="24"/>
          <w:szCs w:val="24"/>
        </w:rPr>
        <w:t>）根据论文写作的具体要求和安排，制定详细工作计划；</w:t>
      </w:r>
    </w:p>
    <w:p w14:paraId="350BDDA0">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w:t>
      </w:r>
      <w:r>
        <w:rPr>
          <w:rFonts w:hint="eastAsia"/>
          <w:sz w:val="24"/>
          <w:szCs w:val="24"/>
          <w:lang w:val="en-US" w:eastAsia="zh-CN"/>
        </w:rPr>
        <w:t>2</w:t>
      </w:r>
      <w:r>
        <w:rPr>
          <w:sz w:val="24"/>
          <w:szCs w:val="24"/>
        </w:rPr>
        <w:t>）指导学生正确选题，帮助学生制定写作计划，指导学生进行文献检索，推荐参考书目和资料并指导阅读；</w:t>
      </w:r>
    </w:p>
    <w:p w14:paraId="2AB6FD7D">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w:t>
      </w:r>
      <w:r>
        <w:rPr>
          <w:rFonts w:hint="eastAsia"/>
          <w:sz w:val="24"/>
          <w:szCs w:val="24"/>
          <w:lang w:val="en-US" w:eastAsia="zh-CN"/>
        </w:rPr>
        <w:t>3</w:t>
      </w:r>
      <w:r>
        <w:rPr>
          <w:sz w:val="24"/>
          <w:szCs w:val="24"/>
        </w:rPr>
        <w:t>）对论文写作全过程的各个阶段进行指导，审阅论文提出修改意见，帮助学生解决写作中的有关问题。对每位学生毕业论文进行分阶段指导，本科不少于4次，专科不少于3次，总计时间本科不少于8小时，专科不少于6小时，每次指导需进行较详细记录；</w:t>
      </w:r>
    </w:p>
    <w:p w14:paraId="04F08838">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w:t>
      </w:r>
      <w:r>
        <w:rPr>
          <w:rFonts w:hint="eastAsia"/>
          <w:sz w:val="24"/>
          <w:szCs w:val="24"/>
          <w:lang w:val="en-US" w:eastAsia="zh-CN"/>
        </w:rPr>
        <w:t>4</w:t>
      </w:r>
      <w:r>
        <w:rPr>
          <w:sz w:val="24"/>
          <w:szCs w:val="24"/>
        </w:rPr>
        <w:t>）监督检查学生独立完成论文写作情况，鉴别并制止抄袭、剽窃等造假行为。指导教师发现论文造假，要求学生重新写作论文，如学生不改正，指导教师有权终止指导，论文初评成绩记零分。</w:t>
      </w:r>
    </w:p>
    <w:p w14:paraId="0F9A1FF6">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（四）毕业论文答辩</w:t>
      </w:r>
    </w:p>
    <w:p w14:paraId="2BAB6FFB">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1.答辩学生</w:t>
      </w:r>
    </w:p>
    <w:p w14:paraId="2CF7B2D8">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val="en-US" w:eastAsia="zh-CN"/>
        </w:rPr>
      </w:pPr>
      <w:r>
        <w:rPr>
          <w:sz w:val="24"/>
          <w:szCs w:val="24"/>
        </w:rPr>
        <w:t>本科毕业生原则上均应参加毕业论文答辩</w:t>
      </w:r>
      <w:r>
        <w:rPr>
          <w:rFonts w:hint="eastAsia"/>
          <w:sz w:val="24"/>
          <w:szCs w:val="24"/>
          <w:lang w:eastAsia="zh-CN"/>
        </w:rPr>
        <w:t>。</w:t>
      </w:r>
    </w:p>
    <w:p w14:paraId="29FFC70B">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2.答辩的组织</w:t>
      </w:r>
    </w:p>
    <w:p w14:paraId="16195A1B">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（1）市级</w:t>
      </w:r>
      <w:r>
        <w:rPr>
          <w:rFonts w:hint="eastAsia"/>
          <w:sz w:val="24"/>
          <w:szCs w:val="24"/>
          <w:lang w:val="en-US" w:eastAsia="zh-CN"/>
        </w:rPr>
        <w:t>开</w:t>
      </w:r>
      <w:r>
        <w:rPr>
          <w:sz w:val="24"/>
          <w:szCs w:val="24"/>
        </w:rPr>
        <w:t>大根据省开大有关要求，制定毕业实践答辩工作流程和工作规范</w:t>
      </w:r>
      <w:r>
        <w:rPr>
          <w:rFonts w:hint="eastAsia"/>
          <w:sz w:val="24"/>
          <w:szCs w:val="24"/>
          <w:lang w:eastAsia="zh-CN"/>
        </w:rPr>
        <w:t>，</w:t>
      </w:r>
      <w:r>
        <w:rPr>
          <w:sz w:val="24"/>
          <w:szCs w:val="24"/>
        </w:rPr>
        <w:t>部署答辩工作，成立答辩委员会和答辩小组</w:t>
      </w:r>
      <w:r>
        <w:rPr>
          <w:rFonts w:hint="eastAsia"/>
          <w:sz w:val="24"/>
          <w:szCs w:val="24"/>
          <w:lang w:eastAsia="zh-CN"/>
        </w:rPr>
        <w:t>。</w:t>
      </w:r>
    </w:p>
    <w:p w14:paraId="37FD58FE">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pacing w:val="-3"/>
        </w:rPr>
      </w:pPr>
      <w:r>
        <w:rPr>
          <w:sz w:val="24"/>
          <w:szCs w:val="24"/>
        </w:rPr>
        <w:t>（3）省开大对毕业答辩过程的组织与实施进行检查。</w:t>
      </w:r>
    </w:p>
    <w:p w14:paraId="19BD7843">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3.答辩委员会</w:t>
      </w:r>
    </w:p>
    <w:p w14:paraId="69D276BA">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（1）人数须为3人及以上单数，由具有相应专业较高业务水平的专家组成</w:t>
      </w:r>
      <w:r>
        <w:rPr>
          <w:rFonts w:hint="eastAsia"/>
          <w:sz w:val="24"/>
          <w:szCs w:val="24"/>
          <w:lang w:eastAsia="zh-CN"/>
        </w:rPr>
        <w:t>。</w:t>
      </w:r>
      <w:r>
        <w:rPr>
          <w:sz w:val="24"/>
          <w:szCs w:val="24"/>
        </w:rPr>
        <w:t>成员需具有相应专业本科及以上学历、副高级及以上专业技术职务，正高级专业技术职务的专家不少于l名。</w:t>
      </w:r>
    </w:p>
    <w:p w14:paraId="6CA7ED41">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（2）主要职责：监督检查并解决答辩过程中出现的专业学术问题，对当地有争议的答辩成绩进行审议。</w:t>
      </w:r>
    </w:p>
    <w:p w14:paraId="173A40B3">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4.答辩小组</w:t>
      </w:r>
    </w:p>
    <w:p w14:paraId="01F4CD1C">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人数须为3人及以上单数。小组成员结构：答辩主持人1名（具有相应专业本科及以上学历、副高级及以上专业技术职务，并持有国家开放大学颁发的答辩主持人资格证书），答辩教师若干名，秘书1名（具有相应专业本科及以上学历，负责汇总答辩题目及答辩评语</w:t>
      </w:r>
      <w:r>
        <w:rPr>
          <w:rFonts w:hint="eastAsia"/>
          <w:sz w:val="24"/>
          <w:szCs w:val="24"/>
          <w:lang w:eastAsia="zh-CN"/>
        </w:rPr>
        <w:t>、</w:t>
      </w:r>
      <w:r>
        <w:rPr>
          <w:sz w:val="24"/>
          <w:szCs w:val="24"/>
        </w:rPr>
        <w:t>成绩）；副高级及以上专业技术职务者不少于</w:t>
      </w:r>
      <w:r>
        <w:rPr>
          <w:rFonts w:hint="eastAsia"/>
          <w:sz w:val="24"/>
          <w:szCs w:val="24"/>
          <w:lang w:val="en-US" w:eastAsia="zh-CN"/>
        </w:rPr>
        <w:t>1</w:t>
      </w:r>
      <w:r>
        <w:rPr>
          <w:sz w:val="24"/>
          <w:szCs w:val="24"/>
        </w:rPr>
        <w:t>人。</w:t>
      </w:r>
    </w:p>
    <w:p w14:paraId="5A4D58E6">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（2）指导教师在其本人指导的学生进行答辩时，不得担当该答辩组成员。</w:t>
      </w:r>
    </w:p>
    <w:p w14:paraId="380328BC">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sz w:val="24"/>
          <w:szCs w:val="24"/>
          <w:lang w:eastAsia="zh-CN"/>
        </w:rPr>
      </w:pPr>
      <w:r>
        <w:rPr>
          <w:rFonts w:hint="eastAsia"/>
          <w:sz w:val="24"/>
          <w:szCs w:val="24"/>
          <w:lang w:eastAsia="zh-CN"/>
        </w:rPr>
        <w:t>（</w:t>
      </w:r>
      <w:r>
        <w:rPr>
          <w:rFonts w:hint="eastAsia"/>
          <w:sz w:val="24"/>
          <w:szCs w:val="24"/>
          <w:lang w:val="en-US" w:eastAsia="zh-CN"/>
        </w:rPr>
        <w:t>3）</w:t>
      </w:r>
      <w:r>
        <w:rPr>
          <w:sz w:val="24"/>
          <w:szCs w:val="24"/>
        </w:rPr>
        <w:t>主要职责：根据学生答辩情况和文字材料，为学生评定答辩成绩和毕业实践成绩</w:t>
      </w:r>
      <w:r>
        <w:rPr>
          <w:rFonts w:hint="eastAsia"/>
          <w:sz w:val="24"/>
          <w:szCs w:val="24"/>
          <w:lang w:eastAsia="zh-CN"/>
        </w:rPr>
        <w:t>。</w:t>
      </w:r>
    </w:p>
    <w:p w14:paraId="630E9FD7">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5.答辩教师</w:t>
      </w:r>
    </w:p>
    <w:p w14:paraId="796BC5A5">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具有相应专业本科及以上学历、中级及以上专业技术职务、3年以上相应专业教学和研究工作经验。答辩教师应审阅参加答辩的学生撰写的毕业论文，并依此提出问题，对学生答辩情况进行现场点评。</w:t>
      </w:r>
    </w:p>
    <w:p w14:paraId="50269621">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6.答辩程序</w:t>
      </w:r>
    </w:p>
    <w:p w14:paraId="16EBCC92">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（1）答辩教师审阅参加答辩的学生毕业论文。</w:t>
      </w:r>
    </w:p>
    <w:p w14:paraId="44709212">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（2）答辩主持人宣布答辩程序和要求，确定答辩人抽取方案。</w:t>
      </w:r>
    </w:p>
    <w:p w14:paraId="2B950BCD">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（3）答辩人用10分钟介绍毕业实践研究概况及毕业论文主要内容。</w:t>
      </w:r>
    </w:p>
    <w:p w14:paraId="262F37B6">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（4）答辩教师审查判断毕业论文的真实性，在答辩人的研究范围内，提出3</w:t>
      </w:r>
      <w:r>
        <w:rPr>
          <w:rFonts w:hint="eastAsia"/>
          <w:sz w:val="24"/>
          <w:szCs w:val="24"/>
          <w:lang w:val="en-US" w:eastAsia="zh-CN"/>
        </w:rPr>
        <w:t>-</w:t>
      </w:r>
      <w:r>
        <w:rPr>
          <w:sz w:val="24"/>
          <w:szCs w:val="24"/>
        </w:rPr>
        <w:t>5个相关问题，由答辩人答辩。</w:t>
      </w:r>
    </w:p>
    <w:p w14:paraId="6149C3AB">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（5）答辩教师对答辩人答辩的情况进行当场点评，并给出答辩评语和答辩成绩</w:t>
      </w:r>
      <w:r>
        <w:rPr>
          <w:rFonts w:hint="eastAsia"/>
          <w:sz w:val="24"/>
          <w:szCs w:val="24"/>
          <w:lang w:eastAsia="zh-CN"/>
        </w:rPr>
        <w:t>，</w:t>
      </w:r>
      <w:r>
        <w:rPr>
          <w:sz w:val="24"/>
          <w:szCs w:val="24"/>
        </w:rPr>
        <w:t>记入《国家开放大学毕业设计（论文）评审表》</w:t>
      </w:r>
      <w:r>
        <w:rPr>
          <w:rFonts w:hint="eastAsia"/>
          <w:sz w:val="24"/>
          <w:szCs w:val="24"/>
          <w:lang w:eastAsia="zh-CN"/>
        </w:rPr>
        <w:t>（</w:t>
      </w:r>
      <w:r>
        <w:rPr>
          <w:rFonts w:hint="eastAsia"/>
          <w:sz w:val="24"/>
          <w:szCs w:val="24"/>
          <w:lang w:val="en-US" w:eastAsia="zh-CN"/>
        </w:rPr>
        <w:t>见附件3）</w:t>
      </w:r>
      <w:r>
        <w:rPr>
          <w:sz w:val="24"/>
          <w:szCs w:val="24"/>
        </w:rPr>
        <w:t>。</w:t>
      </w:r>
    </w:p>
    <w:p w14:paraId="57AA71E8">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（五）成绩评定</w:t>
      </w:r>
    </w:p>
    <w:p w14:paraId="0FF86465">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1.本科专业的毕业论文成绩，由指导教师在学生完成文字材料撰写后，根据《国家开放大学毕业论文成绩评分标准》（见附录</w:t>
      </w:r>
      <w:r>
        <w:rPr>
          <w:rFonts w:hint="eastAsia"/>
          <w:sz w:val="24"/>
          <w:szCs w:val="24"/>
          <w:lang w:val="en-US" w:eastAsia="zh-CN"/>
        </w:rPr>
        <w:t>4</w:t>
      </w:r>
      <w:r>
        <w:rPr>
          <w:sz w:val="24"/>
          <w:szCs w:val="24"/>
        </w:rPr>
        <w:t>)，以百分制给出成绩。</w:t>
      </w:r>
    </w:p>
    <w:p w14:paraId="689BCAD4">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sz w:val="24"/>
          <w:szCs w:val="24"/>
          <w:lang w:val="en-US" w:eastAsia="zh-CN"/>
        </w:rPr>
      </w:pPr>
      <w:r>
        <w:rPr>
          <w:sz w:val="24"/>
          <w:szCs w:val="24"/>
        </w:rPr>
        <w:t>2.答辩结束后，由答辩主持人组织答辩教师对学生答辩过程进行评议，给出最终答辩成绩</w:t>
      </w:r>
      <w:r>
        <w:rPr>
          <w:rFonts w:hint="eastAsia"/>
          <w:sz w:val="24"/>
          <w:szCs w:val="24"/>
          <w:lang w:eastAsia="zh-CN"/>
        </w:rPr>
        <w:t>。</w:t>
      </w:r>
    </w:p>
    <w:p w14:paraId="230C8AAD">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3.凡文字材料未达到基本要求、抄袭造假者，按不及格处理。</w:t>
      </w:r>
    </w:p>
    <w:p w14:paraId="7269D8C1">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4.凡毕业论文成绩未达60分或要求重做者，可根据所在试点教学点实践教学安排计划，在学籍有效期内进行。</w:t>
      </w:r>
    </w:p>
    <w:p w14:paraId="19F6A1F5">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w:t>
      </w:r>
      <w:r>
        <w:rPr>
          <w:rFonts w:hint="eastAsia"/>
          <w:sz w:val="24"/>
          <w:szCs w:val="24"/>
          <w:lang w:val="en-US" w:eastAsia="zh-CN"/>
        </w:rPr>
        <w:t>六</w:t>
      </w:r>
      <w:r>
        <w:rPr>
          <w:sz w:val="24"/>
          <w:szCs w:val="24"/>
        </w:rPr>
        <w:t>）</w:t>
      </w:r>
      <w:r>
        <w:rPr>
          <w:rFonts w:hint="eastAsia"/>
          <w:sz w:val="24"/>
          <w:szCs w:val="24"/>
          <w:lang w:val="en-US" w:eastAsia="zh-CN"/>
        </w:rPr>
        <w:t>论文终审，</w:t>
      </w:r>
      <w:r>
        <w:rPr>
          <w:sz w:val="24"/>
          <w:szCs w:val="24"/>
        </w:rPr>
        <w:t>成绩验收</w:t>
      </w:r>
    </w:p>
    <w:p w14:paraId="3F3E9207">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1.毕业论文成绩评定结束后，由</w:t>
      </w:r>
      <w:r>
        <w:rPr>
          <w:rFonts w:hint="eastAsia"/>
          <w:sz w:val="24"/>
          <w:szCs w:val="24"/>
          <w:lang w:val="en-US" w:eastAsia="zh-CN"/>
        </w:rPr>
        <w:t>市级开</w:t>
      </w:r>
      <w:r>
        <w:rPr>
          <w:sz w:val="24"/>
          <w:szCs w:val="24"/>
        </w:rPr>
        <w:t>大进行汇总和初审。</w:t>
      </w:r>
    </w:p>
    <w:p w14:paraId="72DEA533">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2.</w:t>
      </w:r>
      <w:r>
        <w:rPr>
          <w:rFonts w:hint="eastAsia"/>
          <w:sz w:val="24"/>
          <w:szCs w:val="24"/>
          <w:lang w:val="en-US" w:eastAsia="zh-CN"/>
        </w:rPr>
        <w:t>省开大对各市级开大论文进行终审和成绩验收</w:t>
      </w:r>
      <w:r>
        <w:rPr>
          <w:sz w:val="24"/>
          <w:szCs w:val="24"/>
        </w:rPr>
        <w:t>。</w:t>
      </w:r>
    </w:p>
    <w:p w14:paraId="024AA6FD">
      <w:pPr>
        <w:keepNext w:val="0"/>
        <w:keepLines w:val="0"/>
        <w:pageBreakBefore w:val="0"/>
        <w:widowControl/>
        <w:kinsoku w:val="0"/>
        <w:wordWrap/>
        <w:overflowPunct/>
        <w:topLinePunct w:val="0"/>
        <w:autoSpaceDE w:val="0"/>
        <w:autoSpaceDN w:val="0"/>
        <w:bidi w:val="0"/>
        <w:adjustRightInd w:val="0"/>
        <w:snapToGrid w:val="0"/>
        <w:spacing w:before="78" w:line="560" w:lineRule="exact"/>
        <w:ind w:firstLine="470" w:firstLineChars="200"/>
        <w:textAlignment w:val="baseline"/>
        <w:rPr>
          <w:rFonts w:ascii="黑体" w:hAnsi="黑体" w:eastAsia="黑体" w:cs="黑体"/>
          <w:b/>
          <w:bCs/>
          <w:spacing w:val="-3"/>
          <w:sz w:val="24"/>
          <w:szCs w:val="24"/>
        </w:rPr>
      </w:pPr>
      <w:r>
        <w:rPr>
          <w:rFonts w:ascii="黑体" w:hAnsi="黑体" w:eastAsia="黑体" w:cs="黑体"/>
          <w:b/>
          <w:bCs/>
          <w:spacing w:val="-3"/>
          <w:sz w:val="24"/>
          <w:szCs w:val="24"/>
        </w:rPr>
        <w:t>二、会计学专业（本科）会计管理模拟实验实施细则</w:t>
      </w:r>
    </w:p>
    <w:p w14:paraId="16780A57">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为了加强会计学专业（本科）实践环节教学工作规范管理，确保集中实践环节教学工作的顺利进行，特制定本教学大纲。</w:t>
      </w:r>
    </w:p>
    <w:p w14:paraId="10CB2902">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（一）目的与意义</w:t>
      </w:r>
    </w:p>
    <w:p w14:paraId="30A2A9FC">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会计管理模拟实验是会计学本科专业集中实践教学环节的重要组成部分，在教学工 作中的意义越来越重要，尤其在培养学生的动手能力、独立分析问题的能力、解决问题 的能力方面具有其它方法无法替代的作用，成为学生创新思维和创新能力培养的重要环节</w:t>
      </w:r>
      <w:r>
        <w:rPr>
          <w:rFonts w:hint="eastAsia"/>
          <w:sz w:val="24"/>
          <w:szCs w:val="24"/>
          <w:lang w:eastAsia="zh-CN"/>
        </w:rPr>
        <w:t>。</w:t>
      </w:r>
      <w:r>
        <w:rPr>
          <w:sz w:val="24"/>
          <w:szCs w:val="24"/>
        </w:rPr>
        <w:t>是培养和训练学生认识、掌握会计技能的重要手段。通过本实验，使学生能够系统 地掌握财政部颁布的企业会计准则、掌握财务分析和财务管理决策方法、掌握各种审计方法</w:t>
      </w:r>
      <w:r>
        <w:rPr>
          <w:rFonts w:hint="eastAsia"/>
          <w:sz w:val="24"/>
          <w:szCs w:val="24"/>
          <w:lang w:eastAsia="zh-CN"/>
        </w:rPr>
        <w:t>，</w:t>
      </w:r>
      <w:r>
        <w:rPr>
          <w:sz w:val="24"/>
          <w:szCs w:val="24"/>
        </w:rPr>
        <w:t>从而为学生今后从事会计工作打下坚实的基础，成为理论与实际相结合的高级会 计专业人才。</w:t>
      </w:r>
    </w:p>
    <w:p w14:paraId="1681FCF1">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（二）基本要求</w:t>
      </w:r>
    </w:p>
    <w:p w14:paraId="7091E54A">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1.会计管理模拟实验作为会计学本科专业集中实践环节社会实践的具体教学内容， 是学生的必修环节，不得免修。</w:t>
      </w:r>
    </w:p>
    <w:p w14:paraId="1A43F730">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2.凡已修本专业课程学分达到全部课程总学分 60%以上的学生，均可参加模拟实验实践教学。</w:t>
      </w:r>
    </w:p>
    <w:p w14:paraId="757D7076">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3.会计管理模拟实验教学工作一般在第五学期安排。由于开放教育滚动开课，对于 提前修完规定学分的学生，也可以考虑提前安排。</w:t>
      </w:r>
    </w:p>
    <w:p w14:paraId="14871660">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4.会计管理模拟实验教学工作必须配备具有一定资格要求的一定数量的指导教师。 学生应在指导教师指导下，认真完成模拟实验任务。</w:t>
      </w:r>
    </w:p>
    <w:p w14:paraId="1EC13B2D">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5.会计管理模拟实验教学工作不应少于三周。</w:t>
      </w:r>
    </w:p>
    <w:p w14:paraId="318C3D99">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6.考核组织。由各地省开大组织考试，并将考试时间安排上报</w:t>
      </w:r>
      <w:r>
        <w:rPr>
          <w:rFonts w:hint="eastAsia"/>
          <w:sz w:val="24"/>
          <w:szCs w:val="24"/>
          <w:lang w:val="en-US" w:eastAsia="zh-CN"/>
        </w:rPr>
        <w:t>省校</w:t>
      </w:r>
      <w:r>
        <w:rPr>
          <w:sz w:val="24"/>
          <w:szCs w:val="24"/>
        </w:rPr>
        <w:t>经管学院会计系</w:t>
      </w:r>
      <w:r>
        <w:rPr>
          <w:rFonts w:hint="eastAsia"/>
          <w:sz w:val="24"/>
          <w:szCs w:val="24"/>
          <w:lang w:eastAsia="zh-CN"/>
        </w:rPr>
        <w:t>。</w:t>
      </w:r>
      <w:r>
        <w:rPr>
          <w:sz w:val="24"/>
          <w:szCs w:val="24"/>
        </w:rPr>
        <w:t>届时，</w:t>
      </w:r>
      <w:r>
        <w:rPr>
          <w:rFonts w:hint="eastAsia"/>
          <w:sz w:val="24"/>
          <w:szCs w:val="24"/>
          <w:lang w:val="en-US" w:eastAsia="zh-CN"/>
        </w:rPr>
        <w:t>省校</w:t>
      </w:r>
      <w:r>
        <w:rPr>
          <w:sz w:val="24"/>
          <w:szCs w:val="24"/>
        </w:rPr>
        <w:t>经管学院会计系将派出有关人员进行抽查。</w:t>
      </w:r>
    </w:p>
    <w:p w14:paraId="1F9E6B40">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7.会计管理模拟实验，</w:t>
      </w:r>
      <w:r>
        <w:rPr>
          <w:rFonts w:hint="eastAsia"/>
          <w:sz w:val="24"/>
          <w:szCs w:val="24"/>
          <w:lang w:val="en-US" w:eastAsia="zh-CN"/>
        </w:rPr>
        <w:t>由省校课程责任教师负责把四大模拟版块公布在“一路一网一平台”上，各分校和教学点教师任选某一模块分配给学生在规定时间做完，由各分校和教学点教师负责评定。</w:t>
      </w:r>
      <w:r>
        <w:rPr>
          <w:sz w:val="24"/>
          <w:szCs w:val="24"/>
        </w:rPr>
        <w:t>模拟实验成绩分为优、良、及格、不及格四等。模拟实验经审核合格后给予 3 学分。没有参加模拟实验者不计学分。</w:t>
      </w:r>
    </w:p>
    <w:p w14:paraId="3AD5DBB4">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（三）指导教师资格</w:t>
      </w:r>
    </w:p>
    <w:p w14:paraId="3CDFC9A8">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会计管理模拟实验指导教师的选聘必须符合以下条件：</w:t>
      </w:r>
    </w:p>
    <w:p w14:paraId="434B257C">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w:t>
      </w:r>
      <w:r>
        <w:rPr>
          <w:rFonts w:hint="eastAsia"/>
          <w:sz w:val="24"/>
          <w:szCs w:val="24"/>
          <w:lang w:eastAsia="zh-CN"/>
        </w:rPr>
        <w:t>.</w:t>
      </w:r>
      <w:r>
        <w:rPr>
          <w:sz w:val="24"/>
          <w:szCs w:val="24"/>
        </w:rPr>
        <w:t>具有认真的工作态度、丰富的专业知识和较高的业务水平；</w:t>
      </w:r>
    </w:p>
    <w:p w14:paraId="5B4FDC6C">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2</w:t>
      </w:r>
      <w:r>
        <w:rPr>
          <w:rFonts w:hint="eastAsia"/>
          <w:sz w:val="24"/>
          <w:szCs w:val="24"/>
          <w:lang w:eastAsia="zh-CN"/>
        </w:rPr>
        <w:t>.</w:t>
      </w:r>
      <w:r>
        <w:rPr>
          <w:sz w:val="24"/>
          <w:szCs w:val="24"/>
        </w:rPr>
        <w:t>具有会计学专业本科及以上学历，中级及以上专业技术职务；</w:t>
      </w:r>
    </w:p>
    <w:p w14:paraId="783AD79A">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3</w:t>
      </w:r>
      <w:r>
        <w:rPr>
          <w:rFonts w:hint="eastAsia"/>
          <w:sz w:val="24"/>
          <w:szCs w:val="24"/>
          <w:lang w:eastAsia="zh-CN"/>
        </w:rPr>
        <w:t>.</w:t>
      </w:r>
      <w:r>
        <w:rPr>
          <w:sz w:val="24"/>
          <w:szCs w:val="24"/>
        </w:rPr>
        <w:t>持有省校颁发的会计学专业指导教师资格证书。</w:t>
      </w:r>
    </w:p>
    <w:p w14:paraId="4171B9CB">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各教学点应严格按指导教师资格要求选聘符合条件的教师，并填报《</w:t>
      </w:r>
      <w:r>
        <w:rPr>
          <w:rFonts w:hint="eastAsia"/>
          <w:sz w:val="24"/>
          <w:szCs w:val="24"/>
          <w:lang w:val="en-US" w:eastAsia="zh-CN"/>
        </w:rPr>
        <w:t>江西开放</w:t>
      </w:r>
      <w:r>
        <w:rPr>
          <w:sz w:val="24"/>
          <w:szCs w:val="24"/>
        </w:rPr>
        <w:t>大学 社会实践指导教师申报表》报分校初审，经省校复审后，确定安排指导工作。对于聘请指导教师确有困难的教学点，应于社会实践工作安排前一个月报请省校统筹安排指导。</w:t>
      </w:r>
    </w:p>
    <w:p w14:paraId="0F20BD13">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（四）实验目标</w:t>
      </w:r>
    </w:p>
    <w:p w14:paraId="40037927">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通过实验教学工作，应达到以下教学目标：</w:t>
      </w:r>
    </w:p>
    <w:p w14:paraId="6AB41CAC">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1.会计、财务、审计等知识教学目标</w:t>
      </w:r>
    </w:p>
    <w:p w14:paraId="66A171D0">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（1）掌握企业集团合并报表的编制；</w:t>
      </w:r>
    </w:p>
    <w:p w14:paraId="28B23026">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（2）掌握财务分析方法；</w:t>
      </w:r>
    </w:p>
    <w:p w14:paraId="735A3BB2">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（3）掌握财务管理决策方法；</w:t>
      </w:r>
    </w:p>
    <w:p w14:paraId="3C2B4EEE">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（4）掌握各种审计方法；</w:t>
      </w:r>
    </w:p>
    <w:p w14:paraId="29B5D6C4">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2.实际动手能力培养目标</w:t>
      </w:r>
    </w:p>
    <w:p w14:paraId="008C9393">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（1）具备根据母、子公司个别报表，编制合并财务报表的能力；</w:t>
      </w:r>
    </w:p>
    <w:p w14:paraId="5ED41176">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（2）具备根据母、子公司个别报表、集团合并报表等有关资料，进行财务分析的能力；</w:t>
      </w:r>
    </w:p>
    <w:p w14:paraId="7BFB1C79">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（3）具备根据企业集团财务目标，进行财务决策的能力；</w:t>
      </w:r>
    </w:p>
    <w:p w14:paraId="537AA9C8">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ascii="Arial" w:hAnsi="Arial" w:eastAsia="Arial" w:cs="Arial"/>
          <w:sz w:val="21"/>
          <w:szCs w:val="21"/>
        </w:rPr>
        <w:sectPr>
          <w:footerReference r:id="rId5" w:type="default"/>
          <w:pgSz w:w="11906" w:h="16838"/>
          <w:pgMar w:top="1404" w:right="1132" w:bottom="823" w:left="1567" w:header="0" w:footer="511" w:gutter="0"/>
          <w:cols w:space="720" w:num="1"/>
        </w:sectPr>
      </w:pPr>
      <w:r>
        <w:rPr>
          <w:sz w:val="24"/>
          <w:szCs w:val="24"/>
        </w:rPr>
        <w:t>（4）具备根据软件中自带的实验数据，模拟审计人员现场作业，从中发现审计疑点 和漏洞的能力。</w:t>
      </w:r>
    </w:p>
    <w:p w14:paraId="453757E8">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附录：1.202</w:t>
      </w:r>
      <w:r>
        <w:rPr>
          <w:rFonts w:hint="eastAsia"/>
          <w:sz w:val="24"/>
          <w:szCs w:val="24"/>
          <w:lang w:val="en-US" w:eastAsia="zh-CN"/>
        </w:rPr>
        <w:t>5</w:t>
      </w:r>
      <w:r>
        <w:rPr>
          <w:sz w:val="24"/>
          <w:szCs w:val="24"/>
        </w:rPr>
        <w:t>年会计（本科）毕业论文选题参考</w:t>
      </w:r>
    </w:p>
    <w:p w14:paraId="69F11617">
      <w:pPr>
        <w:pStyle w:val="2"/>
        <w:numPr>
          <w:ilvl w:val="0"/>
          <w:numId w:val="0"/>
        </w:numPr>
        <w:spacing w:before="243" w:line="219" w:lineRule="auto"/>
        <w:ind w:firstLine="1190" w:firstLineChars="500"/>
        <w:rPr>
          <w:spacing w:val="-1"/>
        </w:rPr>
      </w:pPr>
      <w:r>
        <w:rPr>
          <w:rFonts w:hint="eastAsia"/>
          <w:spacing w:val="-1"/>
          <w:lang w:val="en-US" w:eastAsia="zh-CN"/>
        </w:rPr>
        <w:t>2.</w:t>
      </w:r>
      <w:r>
        <w:rPr>
          <w:spacing w:val="-1"/>
        </w:rPr>
        <w:t>会计本科毕业论文（含学位论文）写作形式要求</w:t>
      </w:r>
    </w:p>
    <w:p w14:paraId="45956D79">
      <w:pPr>
        <w:pStyle w:val="2"/>
        <w:numPr>
          <w:ilvl w:val="0"/>
          <w:numId w:val="0"/>
        </w:numPr>
        <w:spacing w:before="243" w:line="219" w:lineRule="auto"/>
        <w:ind w:firstLine="1200" w:firstLineChars="500"/>
        <w:rPr>
          <w:spacing w:val="-1"/>
        </w:rPr>
      </w:pPr>
      <w:r>
        <w:rPr>
          <w:rFonts w:hint="eastAsia"/>
          <w:sz w:val="24"/>
          <w:szCs w:val="24"/>
          <w:lang w:val="en-US" w:eastAsia="zh-CN"/>
        </w:rPr>
        <w:t>3.</w:t>
      </w:r>
      <w:r>
        <w:rPr>
          <w:sz w:val="24"/>
          <w:szCs w:val="24"/>
        </w:rPr>
        <w:t>《国家开放大学毕业设计（论文）评审表》</w:t>
      </w:r>
    </w:p>
    <w:p w14:paraId="5D2B3EFF">
      <w:pPr>
        <w:pStyle w:val="2"/>
        <w:spacing w:before="246" w:line="219" w:lineRule="auto"/>
        <w:ind w:left="483" w:firstLine="720" w:firstLineChars="300"/>
      </w:pPr>
      <w:r>
        <w:rPr>
          <w:rFonts w:hint="eastAsia"/>
          <w:sz w:val="24"/>
          <w:szCs w:val="24"/>
          <w:lang w:val="en-US" w:eastAsia="zh-CN"/>
        </w:rPr>
        <w:t>4.</w:t>
      </w:r>
      <w:r>
        <w:rPr>
          <w:sz w:val="24"/>
          <w:szCs w:val="24"/>
        </w:rPr>
        <w:t>《国家开放大学毕业论文成绩评分标准》</w:t>
      </w:r>
    </w:p>
    <w:p w14:paraId="6B0C5947">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p>
    <w:p w14:paraId="6CC2A01F">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sz w:val="24"/>
          <w:szCs w:val="24"/>
          <w:lang w:eastAsia="zh-CN"/>
        </w:rPr>
      </w:pPr>
    </w:p>
    <w:p w14:paraId="3DF564E3">
      <w:pPr>
        <w:spacing w:line="313" w:lineRule="auto"/>
      </w:pPr>
    </w:p>
    <w:p w14:paraId="492A2D22">
      <w:pPr>
        <w:spacing w:line="313" w:lineRule="auto"/>
      </w:pPr>
    </w:p>
    <w:p w14:paraId="595DE64D">
      <w:pPr>
        <w:spacing w:line="313" w:lineRule="auto"/>
      </w:pPr>
    </w:p>
    <w:p w14:paraId="224BAC2D">
      <w:pPr>
        <w:spacing w:line="313" w:lineRule="auto"/>
      </w:pPr>
    </w:p>
    <w:p w14:paraId="7C22E129">
      <w:pPr>
        <w:spacing w:line="313" w:lineRule="auto"/>
      </w:pPr>
    </w:p>
    <w:p w14:paraId="6EDF292B">
      <w:pPr>
        <w:spacing w:line="313" w:lineRule="auto"/>
      </w:pPr>
    </w:p>
    <w:p w14:paraId="225D2A1B">
      <w:pPr>
        <w:spacing w:line="313" w:lineRule="auto"/>
      </w:pPr>
    </w:p>
    <w:p w14:paraId="7C506437">
      <w:pPr>
        <w:spacing w:line="313" w:lineRule="auto"/>
      </w:pPr>
    </w:p>
    <w:p w14:paraId="29D3C0DB">
      <w:pPr>
        <w:spacing w:line="313" w:lineRule="auto"/>
      </w:pPr>
    </w:p>
    <w:p w14:paraId="2F2FCACB">
      <w:pPr>
        <w:spacing w:line="313" w:lineRule="auto"/>
      </w:pPr>
    </w:p>
    <w:p w14:paraId="28517544">
      <w:pPr>
        <w:spacing w:line="313" w:lineRule="auto"/>
      </w:pPr>
    </w:p>
    <w:p w14:paraId="4A5380AE">
      <w:pPr>
        <w:spacing w:line="313" w:lineRule="auto"/>
      </w:pPr>
    </w:p>
    <w:p w14:paraId="1F518B86">
      <w:pPr>
        <w:spacing w:line="313" w:lineRule="auto"/>
      </w:pPr>
    </w:p>
    <w:p w14:paraId="4A70F1F9">
      <w:pPr>
        <w:spacing w:line="313" w:lineRule="auto"/>
      </w:pPr>
    </w:p>
    <w:p w14:paraId="0E04D87C">
      <w:pPr>
        <w:spacing w:line="313" w:lineRule="auto"/>
      </w:pPr>
    </w:p>
    <w:p w14:paraId="30DFCBC0">
      <w:pPr>
        <w:spacing w:line="313" w:lineRule="auto"/>
      </w:pPr>
    </w:p>
    <w:p w14:paraId="1778081E">
      <w:pPr>
        <w:spacing w:line="313" w:lineRule="auto"/>
      </w:pPr>
    </w:p>
    <w:p w14:paraId="27843D7D">
      <w:pPr>
        <w:spacing w:line="313" w:lineRule="auto"/>
      </w:pPr>
    </w:p>
    <w:p w14:paraId="46FA4151">
      <w:pPr>
        <w:spacing w:line="313" w:lineRule="auto"/>
      </w:pPr>
    </w:p>
    <w:p w14:paraId="493A1442">
      <w:pPr>
        <w:spacing w:line="313" w:lineRule="auto"/>
      </w:pPr>
    </w:p>
    <w:p w14:paraId="41644B26">
      <w:pPr>
        <w:pStyle w:val="2"/>
        <w:spacing w:before="99" w:line="219" w:lineRule="auto"/>
        <w:ind w:left="19"/>
        <w:rPr>
          <w:spacing w:val="-13"/>
        </w:rPr>
      </w:pPr>
    </w:p>
    <w:p w14:paraId="5A59492D">
      <w:pPr>
        <w:pStyle w:val="2"/>
        <w:spacing w:before="99" w:line="219" w:lineRule="auto"/>
        <w:ind w:left="19"/>
        <w:rPr>
          <w:spacing w:val="-13"/>
        </w:rPr>
      </w:pPr>
    </w:p>
    <w:p w14:paraId="131E81FA">
      <w:pPr>
        <w:pStyle w:val="2"/>
        <w:spacing w:before="99" w:line="219" w:lineRule="auto"/>
        <w:ind w:left="19"/>
        <w:rPr>
          <w:spacing w:val="-13"/>
        </w:rPr>
      </w:pPr>
    </w:p>
    <w:p w14:paraId="5BBE238E">
      <w:pPr>
        <w:pStyle w:val="2"/>
        <w:spacing w:before="99" w:line="219" w:lineRule="auto"/>
        <w:ind w:left="19"/>
        <w:rPr>
          <w:spacing w:val="-13"/>
        </w:rPr>
      </w:pPr>
    </w:p>
    <w:p w14:paraId="02C63704">
      <w:pPr>
        <w:pStyle w:val="2"/>
        <w:spacing w:before="99" w:line="219" w:lineRule="auto"/>
        <w:ind w:left="19"/>
        <w:rPr>
          <w:spacing w:val="-13"/>
        </w:rPr>
      </w:pPr>
    </w:p>
    <w:p w14:paraId="497351B5">
      <w:pPr>
        <w:pStyle w:val="2"/>
        <w:spacing w:before="99" w:line="219" w:lineRule="auto"/>
        <w:ind w:left="19"/>
        <w:rPr>
          <w:spacing w:val="-13"/>
        </w:rPr>
      </w:pPr>
    </w:p>
    <w:p w14:paraId="33C60E9A">
      <w:pPr>
        <w:pStyle w:val="2"/>
        <w:spacing w:before="99" w:line="219" w:lineRule="auto"/>
        <w:ind w:left="19"/>
        <w:rPr>
          <w:spacing w:val="-13"/>
        </w:rPr>
      </w:pPr>
    </w:p>
    <w:p w14:paraId="47BD52AD">
      <w:pPr>
        <w:pStyle w:val="2"/>
        <w:spacing w:before="99" w:line="219" w:lineRule="auto"/>
        <w:ind w:left="19"/>
        <w:rPr>
          <w:spacing w:val="-13"/>
        </w:rPr>
      </w:pPr>
    </w:p>
    <w:p w14:paraId="04173018">
      <w:pPr>
        <w:pStyle w:val="2"/>
        <w:spacing w:before="99" w:line="219" w:lineRule="auto"/>
        <w:ind w:left="19"/>
        <w:rPr>
          <w:spacing w:val="-13"/>
        </w:rPr>
      </w:pPr>
    </w:p>
    <w:p w14:paraId="61DC4F56">
      <w:pPr>
        <w:pStyle w:val="2"/>
        <w:spacing w:before="99" w:line="219" w:lineRule="auto"/>
        <w:ind w:left="19"/>
        <w:rPr>
          <w:spacing w:val="-13"/>
        </w:rPr>
      </w:pPr>
    </w:p>
    <w:p w14:paraId="615F0279">
      <w:pPr>
        <w:pStyle w:val="2"/>
        <w:spacing w:before="99" w:line="219" w:lineRule="auto"/>
        <w:ind w:left="19"/>
        <w:rPr>
          <w:spacing w:val="-13"/>
        </w:rPr>
      </w:pPr>
    </w:p>
    <w:p w14:paraId="46C81C3A">
      <w:pPr>
        <w:pStyle w:val="2"/>
        <w:spacing w:before="99" w:line="219" w:lineRule="auto"/>
        <w:ind w:left="19"/>
        <w:rPr>
          <w:spacing w:val="-13"/>
        </w:rPr>
      </w:pPr>
    </w:p>
    <w:p w14:paraId="1CBA6A98">
      <w:pPr>
        <w:pStyle w:val="2"/>
        <w:spacing w:before="99" w:line="219" w:lineRule="auto"/>
        <w:ind w:left="19"/>
      </w:pPr>
      <w:r>
        <w:rPr>
          <w:spacing w:val="-13"/>
        </w:rPr>
        <w:t>附录1</w:t>
      </w:r>
    </w:p>
    <w:p w14:paraId="10B67743">
      <w:pPr>
        <w:spacing w:before="229" w:line="222" w:lineRule="auto"/>
        <w:ind w:left="1992"/>
        <w:rPr>
          <w:rFonts w:ascii="黑体" w:hAnsi="黑体" w:eastAsia="黑体" w:cs="黑体"/>
          <w:sz w:val="30"/>
          <w:szCs w:val="30"/>
        </w:rPr>
      </w:pPr>
      <w:r>
        <w:rPr>
          <w:rFonts w:ascii="黑体" w:hAnsi="黑体" w:eastAsia="黑体" w:cs="黑体"/>
          <w:b/>
          <w:bCs/>
          <w:spacing w:val="1"/>
          <w:sz w:val="30"/>
          <w:szCs w:val="30"/>
        </w:rPr>
        <w:t>202</w:t>
      </w:r>
      <w:r>
        <w:rPr>
          <w:rFonts w:hint="eastAsia" w:ascii="黑体" w:hAnsi="黑体" w:eastAsia="黑体" w:cs="黑体"/>
          <w:b/>
          <w:bCs/>
          <w:spacing w:val="1"/>
          <w:sz w:val="30"/>
          <w:szCs w:val="30"/>
          <w:lang w:val="en-US" w:eastAsia="zh-CN"/>
        </w:rPr>
        <w:t>5</w:t>
      </w:r>
      <w:r>
        <w:rPr>
          <w:rFonts w:ascii="黑体" w:hAnsi="黑体" w:eastAsia="黑体" w:cs="黑体"/>
          <w:b/>
          <w:bCs/>
          <w:spacing w:val="1"/>
          <w:sz w:val="30"/>
          <w:szCs w:val="30"/>
        </w:rPr>
        <w:t>年会计（本科）毕业论文选题参考</w:t>
      </w:r>
    </w:p>
    <w:p w14:paraId="779C65F4">
      <w:pPr>
        <w:pStyle w:val="2"/>
        <w:spacing w:before="216" w:line="219" w:lineRule="auto"/>
        <w:ind w:left="18"/>
      </w:pPr>
      <w:r>
        <w:rPr>
          <w:spacing w:val="-5"/>
        </w:rPr>
        <w:t>1.“实质重于形式”研究</w:t>
      </w:r>
    </w:p>
    <w:p w14:paraId="7A503686">
      <w:pPr>
        <w:pStyle w:val="2"/>
        <w:spacing w:before="183" w:line="219" w:lineRule="auto"/>
        <w:ind w:left="3"/>
      </w:pPr>
      <w:r>
        <w:rPr>
          <w:spacing w:val="-2"/>
        </w:rPr>
        <w:t>2.公司治理下的会计角色定位研究</w:t>
      </w:r>
    </w:p>
    <w:p w14:paraId="2B14C76F">
      <w:pPr>
        <w:pStyle w:val="2"/>
        <w:spacing w:before="183" w:line="219" w:lineRule="auto"/>
        <w:ind w:left="5"/>
      </w:pPr>
      <w:r>
        <w:rPr>
          <w:spacing w:val="-4"/>
        </w:rPr>
        <w:t>3.中西方会计要素比较研究</w:t>
      </w:r>
    </w:p>
    <w:p w14:paraId="75DF3DF7">
      <w:pPr>
        <w:pStyle w:val="2"/>
        <w:spacing w:before="184" w:line="219" w:lineRule="auto"/>
      </w:pPr>
      <w:r>
        <w:rPr>
          <w:spacing w:val="-2"/>
        </w:rPr>
        <w:t>4.会计稳健性原则的国际比较研究</w:t>
      </w:r>
    </w:p>
    <w:p w14:paraId="695F703A">
      <w:pPr>
        <w:pStyle w:val="2"/>
        <w:spacing w:before="183" w:line="219" w:lineRule="auto"/>
        <w:ind w:left="5"/>
      </w:pPr>
      <w:r>
        <w:rPr>
          <w:spacing w:val="-2"/>
        </w:rPr>
        <w:t>5.从受托责任观看我国会计信息质量特征</w:t>
      </w:r>
    </w:p>
    <w:p w14:paraId="112441B9">
      <w:pPr>
        <w:pStyle w:val="2"/>
        <w:spacing w:before="183" w:line="219" w:lineRule="auto"/>
        <w:ind w:left="2"/>
      </w:pPr>
      <w:r>
        <w:rPr>
          <w:spacing w:val="-1"/>
        </w:rPr>
        <w:t>6.会计信息相关性与可靠性的权衡——重视受托责任的现实选择</w:t>
      </w:r>
    </w:p>
    <w:p w14:paraId="0DC7ED5A">
      <w:pPr>
        <w:pStyle w:val="2"/>
        <w:spacing w:before="183" w:line="219" w:lineRule="auto"/>
        <w:ind w:left="6"/>
      </w:pPr>
      <w:r>
        <w:rPr>
          <w:spacing w:val="-3"/>
        </w:rPr>
        <w:t>7.合并会计报表编制研究</w:t>
      </w:r>
    </w:p>
    <w:p w14:paraId="345EDF17">
      <w:pPr>
        <w:pStyle w:val="2"/>
        <w:spacing w:before="185" w:line="219" w:lineRule="auto"/>
        <w:ind w:left="1"/>
      </w:pPr>
      <w:r>
        <w:rPr>
          <w:spacing w:val="-3"/>
        </w:rPr>
        <w:t>8.中国式代理记账模式的思考</w:t>
      </w:r>
    </w:p>
    <w:p w14:paraId="4AAE3AC1">
      <w:pPr>
        <w:pStyle w:val="2"/>
        <w:spacing w:before="182" w:line="219" w:lineRule="auto"/>
        <w:ind w:left="1"/>
      </w:pPr>
      <w:r>
        <w:rPr>
          <w:spacing w:val="-2"/>
        </w:rPr>
        <w:t>9.基金会计模式初探</w:t>
      </w:r>
    </w:p>
    <w:p w14:paraId="35AB3129">
      <w:pPr>
        <w:pStyle w:val="2"/>
        <w:spacing w:before="183" w:line="219" w:lineRule="auto"/>
        <w:ind w:left="18"/>
      </w:pPr>
      <w:r>
        <w:rPr>
          <w:spacing w:val="-3"/>
        </w:rPr>
        <w:t>10.财务会计报表勾稽关系研究</w:t>
      </w:r>
    </w:p>
    <w:p w14:paraId="3E68ED7D">
      <w:pPr>
        <w:pStyle w:val="2"/>
        <w:spacing w:before="184" w:line="219" w:lineRule="auto"/>
        <w:ind w:left="18"/>
      </w:pPr>
      <w:r>
        <w:rPr>
          <w:spacing w:val="-3"/>
        </w:rPr>
        <w:t>11.企业年金基金的会计核算探讨</w:t>
      </w:r>
    </w:p>
    <w:p w14:paraId="26A3B3F9">
      <w:pPr>
        <w:pStyle w:val="2"/>
        <w:spacing w:before="183" w:line="219" w:lineRule="auto"/>
        <w:ind w:left="18"/>
      </w:pPr>
      <w:r>
        <w:rPr>
          <w:spacing w:val="-3"/>
        </w:rPr>
        <w:t>12.套期保值会计核算探讨</w:t>
      </w:r>
    </w:p>
    <w:p w14:paraId="206A55A2">
      <w:pPr>
        <w:pStyle w:val="2"/>
        <w:spacing w:before="183" w:line="219" w:lineRule="auto"/>
        <w:ind w:left="18"/>
      </w:pPr>
      <w:r>
        <w:rPr>
          <w:spacing w:val="-3"/>
        </w:rPr>
        <w:t>13.不同会计计量属性的选择探讨</w:t>
      </w:r>
    </w:p>
    <w:p w14:paraId="5659F914">
      <w:pPr>
        <w:pStyle w:val="2"/>
        <w:spacing w:before="184" w:line="219" w:lineRule="auto"/>
        <w:ind w:left="18"/>
      </w:pPr>
      <w:r>
        <w:rPr>
          <w:spacing w:val="-4"/>
        </w:rPr>
        <w:t>14.企业财务风险实证研究</w:t>
      </w:r>
    </w:p>
    <w:p w14:paraId="3D3B04D4">
      <w:pPr>
        <w:pStyle w:val="2"/>
        <w:spacing w:before="183" w:line="219" w:lineRule="auto"/>
        <w:ind w:left="18"/>
      </w:pPr>
      <w:r>
        <w:rPr>
          <w:spacing w:val="-3"/>
        </w:rPr>
        <w:t>15.金融风险与会计风险关联性研究</w:t>
      </w:r>
    </w:p>
    <w:p w14:paraId="3A25A4E5">
      <w:pPr>
        <w:pStyle w:val="2"/>
        <w:spacing w:before="183" w:line="219" w:lineRule="auto"/>
        <w:ind w:left="18"/>
      </w:pPr>
      <w:r>
        <w:rPr>
          <w:spacing w:val="-4"/>
        </w:rPr>
        <w:t>16.电子商务对传统会计的影响及改革措施</w:t>
      </w:r>
    </w:p>
    <w:p w14:paraId="25E5DC9E">
      <w:pPr>
        <w:pStyle w:val="2"/>
        <w:spacing w:before="183" w:line="219" w:lineRule="auto"/>
        <w:ind w:left="18"/>
      </w:pPr>
      <w:r>
        <w:rPr>
          <w:spacing w:val="-3"/>
        </w:rPr>
        <w:t>17.非货币性资产交换准则变迁及启示</w:t>
      </w:r>
    </w:p>
    <w:p w14:paraId="71179326">
      <w:pPr>
        <w:pStyle w:val="2"/>
        <w:spacing w:before="184" w:line="219" w:lineRule="auto"/>
        <w:ind w:left="18"/>
      </w:pPr>
      <w:r>
        <w:rPr>
          <w:spacing w:val="-3"/>
        </w:rPr>
        <w:t>18.非货币性资产交易会计的国际比较</w:t>
      </w:r>
    </w:p>
    <w:p w14:paraId="67786FFC">
      <w:pPr>
        <w:pStyle w:val="2"/>
        <w:spacing w:before="183" w:line="219" w:lineRule="auto"/>
        <w:ind w:left="18"/>
      </w:pPr>
      <w:r>
        <w:rPr>
          <w:spacing w:val="-2"/>
        </w:rPr>
        <w:t>19.非同一控制下的企业合并会计核算问题分析</w:t>
      </w:r>
    </w:p>
    <w:p w14:paraId="54D6EFE5">
      <w:pPr>
        <w:pStyle w:val="2"/>
        <w:spacing w:before="184" w:line="219" w:lineRule="auto"/>
        <w:ind w:left="3"/>
      </w:pPr>
      <w:r>
        <w:rPr>
          <w:spacing w:val="-2"/>
        </w:rPr>
        <w:t>20.公司管理层收购前的盈余管理分析</w:t>
      </w:r>
    </w:p>
    <w:p w14:paraId="6071F129">
      <w:pPr>
        <w:pStyle w:val="2"/>
        <w:spacing w:before="183" w:line="219" w:lineRule="auto"/>
        <w:ind w:left="3"/>
      </w:pPr>
      <w:r>
        <w:rPr>
          <w:spacing w:val="-2"/>
        </w:rPr>
        <w:t>21.股份支付会计的国际比较</w:t>
      </w:r>
    </w:p>
    <w:p w14:paraId="57642F9A">
      <w:pPr>
        <w:pStyle w:val="2"/>
        <w:spacing w:before="183" w:line="219" w:lineRule="auto"/>
        <w:ind w:left="3"/>
      </w:pPr>
      <w:r>
        <w:rPr>
          <w:spacing w:val="-2"/>
        </w:rPr>
        <w:t>22.股票期权会计的国际比较</w:t>
      </w:r>
    </w:p>
    <w:p w14:paraId="78CF3E48">
      <w:pPr>
        <w:pStyle w:val="2"/>
        <w:spacing w:before="183" w:line="219" w:lineRule="auto"/>
        <w:ind w:left="3"/>
      </w:pPr>
      <w:r>
        <w:rPr>
          <w:spacing w:val="-4"/>
        </w:rPr>
        <w:t>23.固定资产折旧问题研究</w:t>
      </w:r>
    </w:p>
    <w:p w14:paraId="6928DBE6">
      <w:pPr>
        <w:pStyle w:val="2"/>
        <w:spacing w:before="184" w:line="219" w:lineRule="auto"/>
        <w:ind w:left="3"/>
      </w:pPr>
      <w:r>
        <w:rPr>
          <w:spacing w:val="-2"/>
        </w:rPr>
        <w:t>24.企业成本控制方法探索</w:t>
      </w:r>
    </w:p>
    <w:p w14:paraId="7120EA0C">
      <w:pPr>
        <w:pStyle w:val="2"/>
        <w:spacing w:before="183" w:line="219" w:lineRule="auto"/>
        <w:ind w:left="3"/>
      </w:pPr>
      <w:r>
        <w:rPr>
          <w:spacing w:val="-2"/>
        </w:rPr>
        <w:t>25.企业外购存货的入库成本研究</w:t>
      </w:r>
    </w:p>
    <w:p w14:paraId="2C6DCBD1">
      <w:pPr>
        <w:pStyle w:val="2"/>
        <w:spacing w:before="183" w:line="219" w:lineRule="auto"/>
        <w:ind w:left="3"/>
      </w:pPr>
      <w:r>
        <w:rPr>
          <w:spacing w:val="-2"/>
        </w:rPr>
        <w:t>26.会计报表附注对于财务分析的影响</w:t>
      </w:r>
    </w:p>
    <w:p w14:paraId="1CDFB381">
      <w:pPr>
        <w:pStyle w:val="2"/>
        <w:spacing w:before="184" w:line="218" w:lineRule="auto"/>
        <w:ind w:left="3"/>
      </w:pPr>
      <w:r>
        <w:rPr>
          <w:spacing w:val="-2"/>
        </w:rPr>
        <w:t>27.会计诚信评价体系的构造研究</w:t>
      </w:r>
    </w:p>
    <w:p w14:paraId="5CB7D162">
      <w:pPr>
        <w:pStyle w:val="2"/>
        <w:spacing w:before="184" w:line="219" w:lineRule="auto"/>
        <w:ind w:left="3"/>
        <w:rPr>
          <w:rFonts w:hint="eastAsia" w:eastAsia="宋体"/>
          <w:lang w:val="en-US" w:eastAsia="zh-CN"/>
        </w:rPr>
        <w:sectPr>
          <w:footerReference r:id="rId6" w:type="default"/>
          <w:pgSz w:w="11906" w:h="16838"/>
          <w:pgMar w:top="1431" w:right="1785" w:bottom="823" w:left="1596" w:header="0" w:footer="511" w:gutter="0"/>
          <w:cols w:space="720" w:num="1"/>
        </w:sectPr>
      </w:pPr>
      <w:r>
        <w:rPr>
          <w:spacing w:val="-1"/>
        </w:rPr>
        <w:t>28.会计环境对会计准则执行的影响研究——基于××业务的案例研</w:t>
      </w:r>
    </w:p>
    <w:p w14:paraId="2D0A0466">
      <w:pPr>
        <w:pStyle w:val="2"/>
        <w:spacing w:before="99" w:line="219" w:lineRule="auto"/>
      </w:pPr>
      <w:r>
        <w:rPr>
          <w:spacing w:val="-1"/>
        </w:rPr>
        <w:t>29.会计社会责任的研究——基于××公司的案例研究</w:t>
      </w:r>
    </w:p>
    <w:p w14:paraId="4D477790">
      <w:pPr>
        <w:pStyle w:val="2"/>
        <w:spacing w:before="183" w:line="219" w:lineRule="auto"/>
        <w:ind w:left="5"/>
      </w:pPr>
      <w:r>
        <w:rPr>
          <w:spacing w:val="-2"/>
        </w:rPr>
        <w:t>30.会计信息披露成本研究</w:t>
      </w:r>
    </w:p>
    <w:p w14:paraId="7D057C3B">
      <w:pPr>
        <w:pStyle w:val="2"/>
        <w:spacing w:before="183" w:line="219" w:lineRule="auto"/>
        <w:ind w:left="5"/>
      </w:pPr>
      <w:r>
        <w:rPr>
          <w:spacing w:val="-2"/>
        </w:rPr>
        <w:t>31.会计信息需求特征分析</w:t>
      </w:r>
    </w:p>
    <w:p w14:paraId="4258B37B">
      <w:pPr>
        <w:pStyle w:val="2"/>
        <w:spacing w:before="183" w:line="219" w:lineRule="auto"/>
        <w:ind w:left="5"/>
      </w:pPr>
      <w:r>
        <w:rPr>
          <w:spacing w:val="-2"/>
        </w:rPr>
        <w:t>32.浅析会计制度与税法的差异比较</w:t>
      </w:r>
    </w:p>
    <w:p w14:paraId="6236A178">
      <w:pPr>
        <w:pStyle w:val="2"/>
        <w:spacing w:before="183" w:line="218" w:lineRule="auto"/>
        <w:ind w:left="5"/>
      </w:pPr>
      <w:r>
        <w:rPr>
          <w:spacing w:val="-2"/>
        </w:rPr>
        <w:t>33.基于非经常损益的上市公司盈利质量评价</w:t>
      </w:r>
    </w:p>
    <w:p w14:paraId="3B451AD7">
      <w:pPr>
        <w:pStyle w:val="2"/>
        <w:spacing w:before="185" w:line="219" w:lineRule="auto"/>
        <w:ind w:left="5"/>
      </w:pPr>
      <w:r>
        <w:rPr>
          <w:spacing w:val="-2"/>
        </w:rPr>
        <w:t>34.基于关联交易上市公司的盈利质量分析</w:t>
      </w:r>
    </w:p>
    <w:p w14:paraId="3E2DEAA3">
      <w:pPr>
        <w:pStyle w:val="2"/>
        <w:spacing w:before="182" w:line="219" w:lineRule="auto"/>
        <w:ind w:left="5"/>
      </w:pPr>
      <w:r>
        <w:rPr>
          <w:spacing w:val="-2"/>
        </w:rPr>
        <w:t>35.借款费用资本化处理的国际比较</w:t>
      </w:r>
    </w:p>
    <w:p w14:paraId="515FA5AB">
      <w:pPr>
        <w:pStyle w:val="2"/>
        <w:spacing w:before="184" w:line="219" w:lineRule="auto"/>
        <w:ind w:left="5"/>
      </w:pPr>
      <w:r>
        <w:rPr>
          <w:spacing w:val="-2"/>
        </w:rPr>
        <w:t>36.金融危机对会计核算的新挑战</w:t>
      </w:r>
    </w:p>
    <w:p w14:paraId="702C88D0">
      <w:pPr>
        <w:pStyle w:val="2"/>
        <w:spacing w:before="183" w:line="219" w:lineRule="auto"/>
        <w:ind w:left="5"/>
      </w:pPr>
      <w:r>
        <w:rPr>
          <w:spacing w:val="-2"/>
        </w:rPr>
        <w:t>37.金融资产减值及其会计核算的比较分析</w:t>
      </w:r>
    </w:p>
    <w:p w14:paraId="4FDC1FBA">
      <w:pPr>
        <w:pStyle w:val="2"/>
        <w:spacing w:before="184" w:line="219" w:lineRule="auto"/>
        <w:ind w:left="5"/>
      </w:pPr>
      <w:r>
        <w:rPr>
          <w:spacing w:val="-2"/>
        </w:rPr>
        <w:t>38.每股收益计算与披露的国际比较</w:t>
      </w:r>
    </w:p>
    <w:p w14:paraId="0A341777">
      <w:pPr>
        <w:pStyle w:val="2"/>
        <w:spacing w:before="183" w:line="218" w:lineRule="auto"/>
        <w:ind w:left="5"/>
      </w:pPr>
      <w:r>
        <w:rPr>
          <w:spacing w:val="-2"/>
        </w:rPr>
        <w:t>39.企业分部报告编制及分析的探讨</w:t>
      </w:r>
    </w:p>
    <w:p w14:paraId="4FD6C3CD">
      <w:pPr>
        <w:pStyle w:val="2"/>
        <w:spacing w:before="184" w:line="219" w:lineRule="auto"/>
      </w:pPr>
      <w:r>
        <w:rPr>
          <w:spacing w:val="-2"/>
        </w:rPr>
        <w:t>40.企业股权激励制度及其会计处理的探讨</w:t>
      </w:r>
    </w:p>
    <w:p w14:paraId="6B92C12C">
      <w:pPr>
        <w:pStyle w:val="2"/>
        <w:spacing w:before="183" w:line="219" w:lineRule="auto"/>
      </w:pPr>
      <w:r>
        <w:rPr>
          <w:spacing w:val="-2"/>
        </w:rPr>
        <w:t>41.企业会计政策变更动机探讨</w:t>
      </w:r>
    </w:p>
    <w:p w14:paraId="1A20F2F6">
      <w:pPr>
        <w:pStyle w:val="2"/>
        <w:spacing w:before="184" w:line="219" w:lineRule="auto"/>
      </w:pPr>
      <w:r>
        <w:rPr>
          <w:spacing w:val="-2"/>
        </w:rPr>
        <w:t>42.企业会计政策选择影响因素的探讨</w:t>
      </w:r>
    </w:p>
    <w:p w14:paraId="4B59872B">
      <w:pPr>
        <w:pStyle w:val="2"/>
        <w:spacing w:before="183" w:line="219" w:lineRule="auto"/>
      </w:pPr>
      <w:r>
        <w:rPr>
          <w:spacing w:val="-2"/>
        </w:rPr>
        <w:t>43.企业会计准则对债权人利益的保护研究</w:t>
      </w:r>
    </w:p>
    <w:p w14:paraId="05DFBDAD">
      <w:pPr>
        <w:pStyle w:val="2"/>
        <w:spacing w:before="183" w:line="219" w:lineRule="auto"/>
      </w:pPr>
      <w:r>
        <w:rPr>
          <w:spacing w:val="-2"/>
        </w:rPr>
        <w:t>44.企业借款费用准则的变化及国际比较</w:t>
      </w:r>
    </w:p>
    <w:p w14:paraId="6419C4B1">
      <w:pPr>
        <w:pStyle w:val="2"/>
        <w:spacing w:before="184" w:line="219" w:lineRule="auto"/>
      </w:pPr>
      <w:r>
        <w:rPr>
          <w:spacing w:val="-2"/>
        </w:rPr>
        <w:t>45.企业内部会计控制探索</w:t>
      </w:r>
    </w:p>
    <w:p w14:paraId="172E4902">
      <w:pPr>
        <w:pStyle w:val="2"/>
        <w:spacing w:before="183" w:line="219" w:lineRule="auto"/>
      </w:pPr>
      <w:r>
        <w:rPr>
          <w:spacing w:val="-1"/>
        </w:rPr>
        <w:t>46.企业社会责任会计信息披露中存在的问题及对策</w:t>
      </w:r>
    </w:p>
    <w:p w14:paraId="5828ACC4">
      <w:pPr>
        <w:pStyle w:val="2"/>
        <w:spacing w:before="183" w:line="219" w:lineRule="auto"/>
      </w:pPr>
      <w:r>
        <w:rPr>
          <w:spacing w:val="-2"/>
        </w:rPr>
        <w:t>47.企业所得税会计初探</w:t>
      </w:r>
    </w:p>
    <w:p w14:paraId="2C134CF4">
      <w:pPr>
        <w:pStyle w:val="2"/>
        <w:spacing w:before="183" w:line="219" w:lineRule="auto"/>
      </w:pPr>
      <w:r>
        <w:rPr>
          <w:spacing w:val="-2"/>
        </w:rPr>
        <w:t>48.企业债务重组方式选择及会计处理比较</w:t>
      </w:r>
    </w:p>
    <w:p w14:paraId="5D262557">
      <w:pPr>
        <w:pStyle w:val="2"/>
        <w:spacing w:before="184" w:line="219" w:lineRule="auto"/>
      </w:pPr>
      <w:r>
        <w:rPr>
          <w:spacing w:val="-2"/>
        </w:rPr>
        <w:t>49.缺陷产品召回及其会计处理探析</w:t>
      </w:r>
    </w:p>
    <w:p w14:paraId="6EBE6EE6">
      <w:pPr>
        <w:pStyle w:val="2"/>
        <w:spacing w:before="183" w:line="219" w:lineRule="auto"/>
        <w:ind w:left="5"/>
      </w:pPr>
      <w:r>
        <w:rPr>
          <w:spacing w:val="-2"/>
        </w:rPr>
        <w:t>50.融资租赁会计的国际比较</w:t>
      </w:r>
    </w:p>
    <w:p w14:paraId="6D4CEB9B">
      <w:pPr>
        <w:pStyle w:val="2"/>
        <w:spacing w:before="183" w:line="219" w:lineRule="auto"/>
        <w:ind w:left="5"/>
      </w:pPr>
      <w:r>
        <w:rPr>
          <w:spacing w:val="-1"/>
        </w:rPr>
        <w:t>51.上市公司股权激励的会计处理及实用分</w:t>
      </w:r>
      <w:r>
        <w:rPr>
          <w:spacing w:val="-2"/>
        </w:rPr>
        <w:t>析——基于XX案例分析</w:t>
      </w:r>
    </w:p>
    <w:p w14:paraId="14424A18">
      <w:pPr>
        <w:pStyle w:val="2"/>
        <w:spacing w:before="184" w:line="218" w:lineRule="auto"/>
        <w:ind w:left="5"/>
      </w:pPr>
      <w:r>
        <w:rPr>
          <w:spacing w:val="-2"/>
        </w:rPr>
        <w:t>52.上市公司滥用会计估计问题探析——基于XX案例分析</w:t>
      </w:r>
    </w:p>
    <w:p w14:paraId="2A87B232">
      <w:pPr>
        <w:pStyle w:val="2"/>
        <w:spacing w:before="185" w:line="219" w:lineRule="auto"/>
        <w:ind w:left="5"/>
      </w:pPr>
      <w:r>
        <w:rPr>
          <w:spacing w:val="-2"/>
        </w:rPr>
        <w:t>53.上市公司自愿性信息披露的影响因素分析</w:t>
      </w:r>
    </w:p>
    <w:p w14:paraId="05F3D388">
      <w:pPr>
        <w:pStyle w:val="2"/>
        <w:spacing w:before="183" w:line="218" w:lineRule="auto"/>
        <w:ind w:left="5"/>
      </w:pPr>
      <w:r>
        <w:rPr>
          <w:spacing w:val="-2"/>
        </w:rPr>
        <w:t>54.企业存货发出计价方法研究</w:t>
      </w:r>
    </w:p>
    <w:p w14:paraId="742E002B">
      <w:pPr>
        <w:pStyle w:val="2"/>
        <w:spacing w:before="184" w:line="218" w:lineRule="auto"/>
        <w:ind w:left="5"/>
      </w:pPr>
      <w:r>
        <w:rPr>
          <w:spacing w:val="-1"/>
        </w:rPr>
        <w:t>55.投资业务核算中公允价值应用对企业利润的影响分析</w:t>
      </w:r>
    </w:p>
    <w:p w14:paraId="74740741">
      <w:pPr>
        <w:pStyle w:val="2"/>
        <w:spacing w:before="185" w:line="219" w:lineRule="auto"/>
        <w:ind w:left="5"/>
      </w:pPr>
      <w:r>
        <w:rPr>
          <w:spacing w:val="-3"/>
        </w:rPr>
        <w:t>56.网络会计对会计基本假设影响探析</w:t>
      </w:r>
    </w:p>
    <w:p w14:paraId="6368A1B7">
      <w:pPr>
        <w:pStyle w:val="2"/>
        <w:spacing w:before="184" w:line="219" w:lineRule="auto"/>
        <w:ind w:left="5"/>
      </w:pPr>
      <w:r>
        <w:rPr>
          <w:spacing w:val="-2"/>
        </w:rPr>
        <w:t>57.浅析我国上市公司的内部控制信息披露</w:t>
      </w:r>
    </w:p>
    <w:p w14:paraId="79B3FE16">
      <w:pPr>
        <w:pStyle w:val="2"/>
        <w:spacing w:before="183" w:line="220" w:lineRule="auto"/>
        <w:ind w:left="5"/>
      </w:pPr>
      <w:r>
        <w:rPr>
          <w:spacing w:val="-2"/>
        </w:rPr>
        <w:t>58.现金流量折现法的应用分析</w:t>
      </w:r>
    </w:p>
    <w:p w14:paraId="7CDBE95B">
      <w:pPr>
        <w:spacing w:line="220" w:lineRule="auto"/>
        <w:sectPr>
          <w:footerReference r:id="rId7" w:type="default"/>
          <w:pgSz w:w="11906" w:h="16838"/>
          <w:pgMar w:top="1431" w:right="1785" w:bottom="823" w:left="1596" w:header="0" w:footer="511" w:gutter="0"/>
          <w:cols w:space="720" w:num="1"/>
        </w:sectPr>
      </w:pPr>
    </w:p>
    <w:p w14:paraId="2D2B6FC6">
      <w:pPr>
        <w:pStyle w:val="2"/>
        <w:spacing w:before="99" w:line="219" w:lineRule="auto"/>
        <w:ind w:left="3"/>
      </w:pPr>
      <w:r>
        <w:rPr>
          <w:spacing w:val="-2"/>
        </w:rPr>
        <w:t>59.上市公司会计政策选择动机研究——基于XX案例的分析</w:t>
      </w:r>
    </w:p>
    <w:p w14:paraId="6048633F">
      <w:pPr>
        <w:pStyle w:val="2"/>
        <w:spacing w:before="183" w:line="219" w:lineRule="auto"/>
      </w:pPr>
      <w:r>
        <w:rPr>
          <w:spacing w:val="-1"/>
        </w:rPr>
        <w:t>60.上市公司财务报表粉饰行为及其防范</w:t>
      </w:r>
      <w:r>
        <w:rPr>
          <w:spacing w:val="-2"/>
        </w:rPr>
        <w:t>研究</w:t>
      </w:r>
    </w:p>
    <w:p w14:paraId="2FE505F8">
      <w:pPr>
        <w:pStyle w:val="2"/>
        <w:spacing w:before="183" w:line="219" w:lineRule="auto"/>
      </w:pPr>
      <w:r>
        <w:rPr>
          <w:spacing w:val="-1"/>
        </w:rPr>
        <w:t>61.上市公司财务舞弊产生的机理及其治理研究</w:t>
      </w:r>
    </w:p>
    <w:p w14:paraId="26AD9355">
      <w:pPr>
        <w:pStyle w:val="2"/>
        <w:spacing w:before="183" w:line="219" w:lineRule="auto"/>
      </w:pPr>
      <w:r>
        <w:rPr>
          <w:spacing w:val="-2"/>
        </w:rPr>
        <w:t>62.上市公司财务舞弊的控制体系研究</w:t>
      </w:r>
    </w:p>
    <w:p w14:paraId="473A1278">
      <w:pPr>
        <w:pStyle w:val="2"/>
        <w:spacing w:before="183" w:line="219" w:lineRule="auto"/>
      </w:pPr>
      <w:r>
        <w:rPr>
          <w:spacing w:val="-2"/>
        </w:rPr>
        <w:t>63.上市公司财务舞弊治理链研究</w:t>
      </w:r>
    </w:p>
    <w:p w14:paraId="2CA4882A">
      <w:pPr>
        <w:pStyle w:val="2"/>
        <w:spacing w:before="183" w:line="219" w:lineRule="auto"/>
      </w:pPr>
      <w:r>
        <w:rPr>
          <w:spacing w:val="-2"/>
        </w:rPr>
        <w:t>64.上市公司会计造假的防范与治理研究－基于XX案例分析</w:t>
      </w:r>
    </w:p>
    <w:p w14:paraId="47376D0D">
      <w:pPr>
        <w:pStyle w:val="2"/>
        <w:spacing w:before="184" w:line="219" w:lineRule="auto"/>
      </w:pPr>
      <w:r>
        <w:rPr>
          <w:spacing w:val="-2"/>
        </w:rPr>
        <w:t>65.关于上市公司利润操纵手段的探析</w:t>
      </w:r>
    </w:p>
    <w:p w14:paraId="7DC425DC">
      <w:pPr>
        <w:pStyle w:val="2"/>
        <w:spacing w:before="182" w:line="219" w:lineRule="auto"/>
      </w:pPr>
      <w:r>
        <w:rPr>
          <w:spacing w:val="-1"/>
        </w:rPr>
        <w:t>66.我国上市公司利用关联交易操纵利润的手法和动机分析</w:t>
      </w:r>
    </w:p>
    <w:p w14:paraId="31331102">
      <w:pPr>
        <w:pStyle w:val="2"/>
        <w:spacing w:before="184" w:line="219" w:lineRule="auto"/>
      </w:pPr>
      <w:r>
        <w:rPr>
          <w:spacing w:val="-1"/>
        </w:rPr>
        <w:t>67.试论我国上市公司利用资产重组进行财务舞弊的手法及防范</w:t>
      </w:r>
    </w:p>
    <w:p w14:paraId="476CC976">
      <w:pPr>
        <w:pStyle w:val="2"/>
        <w:spacing w:before="183" w:line="219" w:lineRule="auto"/>
      </w:pPr>
      <w:r>
        <w:rPr>
          <w:spacing w:val="-2"/>
        </w:rPr>
        <w:t>68.上市公司财务舞弊动机的剖析</w:t>
      </w:r>
    </w:p>
    <w:p w14:paraId="18E81F69">
      <w:pPr>
        <w:pStyle w:val="2"/>
        <w:spacing w:before="183" w:line="219" w:lineRule="auto"/>
      </w:pPr>
      <w:r>
        <w:rPr>
          <w:spacing w:val="-2"/>
        </w:rPr>
        <w:t>69.上市公司财务舞弊动机的中外比较</w:t>
      </w:r>
    </w:p>
    <w:p w14:paraId="61427EA5">
      <w:pPr>
        <w:pStyle w:val="2"/>
        <w:spacing w:before="183" w:line="219" w:lineRule="auto"/>
        <w:ind w:left="4"/>
      </w:pPr>
      <w:r>
        <w:rPr>
          <w:spacing w:val="-2"/>
        </w:rPr>
        <w:t>70.上市公司财务舞弊法律责任的中外比较研究</w:t>
      </w:r>
    </w:p>
    <w:p w14:paraId="74789E23">
      <w:pPr>
        <w:pStyle w:val="2"/>
        <w:spacing w:before="184" w:line="219" w:lineRule="auto"/>
        <w:ind w:left="4"/>
      </w:pPr>
      <w:r>
        <w:rPr>
          <w:spacing w:val="-2"/>
        </w:rPr>
        <w:t>71.上市公司财务舞弊手法的中外比较研究</w:t>
      </w:r>
    </w:p>
    <w:p w14:paraId="13FB7F26">
      <w:pPr>
        <w:pStyle w:val="2"/>
        <w:spacing w:before="184" w:line="219" w:lineRule="auto"/>
        <w:ind w:left="4"/>
      </w:pPr>
      <w:r>
        <w:rPr>
          <w:spacing w:val="-1"/>
        </w:rPr>
        <w:t>72.浅析我国上市公司收入确认中的财务舞弊</w:t>
      </w:r>
      <w:r>
        <w:rPr>
          <w:spacing w:val="-2"/>
        </w:rPr>
        <w:t>手法识别</w:t>
      </w:r>
    </w:p>
    <w:p w14:paraId="41B12F3A">
      <w:pPr>
        <w:pStyle w:val="2"/>
        <w:spacing w:before="182" w:line="219" w:lineRule="auto"/>
        <w:ind w:left="4"/>
      </w:pPr>
      <w:r>
        <w:rPr>
          <w:spacing w:val="-2"/>
        </w:rPr>
        <w:t>73.浅析上市公司虚假收入确认的识别</w:t>
      </w:r>
    </w:p>
    <w:p w14:paraId="3DDA6437">
      <w:pPr>
        <w:pStyle w:val="2"/>
        <w:spacing w:before="185" w:line="219" w:lineRule="auto"/>
        <w:ind w:left="4"/>
      </w:pPr>
      <w:r>
        <w:rPr>
          <w:spacing w:val="-2"/>
        </w:rPr>
        <w:t>74.浅析上市公司提前确认收入的识别</w:t>
      </w:r>
    </w:p>
    <w:p w14:paraId="011E08A4">
      <w:pPr>
        <w:pStyle w:val="2"/>
        <w:spacing w:before="182" w:line="219" w:lineRule="auto"/>
        <w:ind w:left="4"/>
      </w:pPr>
      <w:r>
        <w:rPr>
          <w:spacing w:val="-1"/>
        </w:rPr>
        <w:t>75.试论上市公司费用资本化中的财务舞弊手法及识别</w:t>
      </w:r>
    </w:p>
    <w:p w14:paraId="69E523FF">
      <w:pPr>
        <w:pStyle w:val="2"/>
        <w:spacing w:before="184" w:line="219" w:lineRule="auto"/>
        <w:ind w:left="4"/>
      </w:pPr>
      <w:r>
        <w:rPr>
          <w:spacing w:val="-1"/>
        </w:rPr>
        <w:t>76.我国上市公司费用确认中的财务舞弊</w:t>
      </w:r>
      <w:r>
        <w:rPr>
          <w:spacing w:val="-2"/>
        </w:rPr>
        <w:t>手法剖析</w:t>
      </w:r>
    </w:p>
    <w:p w14:paraId="3660990A">
      <w:pPr>
        <w:pStyle w:val="2"/>
        <w:spacing w:before="183" w:line="218" w:lineRule="auto"/>
        <w:ind w:left="4"/>
      </w:pPr>
      <w:r>
        <w:rPr>
          <w:spacing w:val="-1"/>
        </w:rPr>
        <w:t>77.我国上市公司资产计价中的财务舞弊</w:t>
      </w:r>
      <w:r>
        <w:rPr>
          <w:spacing w:val="-2"/>
        </w:rPr>
        <w:t>手法研究</w:t>
      </w:r>
    </w:p>
    <w:p w14:paraId="6AFBBB4E">
      <w:pPr>
        <w:pStyle w:val="2"/>
        <w:spacing w:before="184" w:line="218" w:lineRule="auto"/>
        <w:ind w:left="4"/>
      </w:pPr>
      <w:r>
        <w:rPr>
          <w:spacing w:val="-1"/>
        </w:rPr>
        <w:t>78.我国上市公司负债计价中的财务舞弊</w:t>
      </w:r>
      <w:r>
        <w:rPr>
          <w:spacing w:val="-2"/>
        </w:rPr>
        <w:t>手法剖析</w:t>
      </w:r>
    </w:p>
    <w:p w14:paraId="12A6D1F6">
      <w:pPr>
        <w:pStyle w:val="2"/>
        <w:spacing w:before="186" w:line="219" w:lineRule="auto"/>
        <w:ind w:left="4"/>
      </w:pPr>
      <w:r>
        <w:rPr>
          <w:spacing w:val="-2"/>
        </w:rPr>
        <w:t>79.我国上市公司并购中的财务舞弊手法剖析</w:t>
      </w:r>
    </w:p>
    <w:p w14:paraId="10B6BDEF">
      <w:pPr>
        <w:pStyle w:val="2"/>
        <w:spacing w:before="183" w:line="219" w:lineRule="auto"/>
      </w:pPr>
      <w:r>
        <w:rPr>
          <w:spacing w:val="-1"/>
        </w:rPr>
        <w:t>80.我国上市公司合并报表中的财务舞弊手法剖析</w:t>
      </w:r>
    </w:p>
    <w:p w14:paraId="4E5A07BC">
      <w:pPr>
        <w:pStyle w:val="2"/>
        <w:spacing w:before="182" w:line="219" w:lineRule="auto"/>
      </w:pPr>
      <w:r>
        <w:rPr>
          <w:spacing w:val="-1"/>
        </w:rPr>
        <w:t>81.我国上市公司非货币性资产交换中的财务舞弊手法剖析</w:t>
      </w:r>
    </w:p>
    <w:p w14:paraId="474FB467">
      <w:pPr>
        <w:pStyle w:val="2"/>
        <w:spacing w:before="184" w:line="218" w:lineRule="auto"/>
      </w:pPr>
      <w:r>
        <w:rPr>
          <w:spacing w:val="-1"/>
        </w:rPr>
        <w:t>82.上市公司会计估计变更与财务舞弊研究——</w:t>
      </w:r>
      <w:r>
        <w:rPr>
          <w:spacing w:val="-2"/>
        </w:rPr>
        <w:t>基于XX案例分析</w:t>
      </w:r>
    </w:p>
    <w:p w14:paraId="084A123D">
      <w:pPr>
        <w:pStyle w:val="2"/>
        <w:spacing w:before="184" w:line="219" w:lineRule="auto"/>
      </w:pPr>
      <w:r>
        <w:rPr>
          <w:spacing w:val="-1"/>
        </w:rPr>
        <w:t>83.上市公司会计政策变更与财务舞弊研究——</w:t>
      </w:r>
      <w:r>
        <w:rPr>
          <w:spacing w:val="-2"/>
        </w:rPr>
        <w:t>基于XX案例分析</w:t>
      </w:r>
    </w:p>
    <w:p w14:paraId="2A164337">
      <w:pPr>
        <w:pStyle w:val="2"/>
        <w:spacing w:before="184" w:line="218" w:lineRule="auto"/>
      </w:pPr>
      <w:r>
        <w:rPr>
          <w:spacing w:val="-2"/>
        </w:rPr>
        <w:t>84.企业发出存货计价方法的调查研究</w:t>
      </w:r>
    </w:p>
    <w:p w14:paraId="56482D53">
      <w:pPr>
        <w:pStyle w:val="2"/>
        <w:spacing w:before="185" w:line="219" w:lineRule="auto"/>
      </w:pPr>
      <w:r>
        <w:rPr>
          <w:spacing w:val="-2"/>
        </w:rPr>
        <w:t>85.净利润与现金净流量的差异分析</w:t>
      </w:r>
    </w:p>
    <w:p w14:paraId="6D4AA812">
      <w:pPr>
        <w:pStyle w:val="2"/>
        <w:spacing w:before="182" w:line="219" w:lineRule="auto"/>
      </w:pPr>
      <w:r>
        <w:rPr>
          <w:spacing w:val="-1"/>
        </w:rPr>
        <w:t>86.优化国内第三方物流企业会计结算管理问题的思考</w:t>
      </w:r>
    </w:p>
    <w:p w14:paraId="01C2A439">
      <w:pPr>
        <w:pStyle w:val="2"/>
        <w:spacing w:before="184" w:line="219" w:lineRule="auto"/>
      </w:pPr>
      <w:r>
        <w:rPr>
          <w:spacing w:val="-1"/>
        </w:rPr>
        <w:t>87.对上市公司会计信息披露监管措施的思考</w:t>
      </w:r>
    </w:p>
    <w:p w14:paraId="52833962">
      <w:pPr>
        <w:pStyle w:val="2"/>
        <w:spacing w:before="183" w:line="219" w:lineRule="auto"/>
      </w:pPr>
      <w:r>
        <w:rPr>
          <w:spacing w:val="-1"/>
        </w:rPr>
        <w:t>88.上市公司预测性信息披露的市场反应研究——基</w:t>
      </w:r>
      <w:r>
        <w:rPr>
          <w:spacing w:val="-2"/>
        </w:rPr>
        <w:t>于XX案例分析</w:t>
      </w:r>
    </w:p>
    <w:p w14:paraId="329087BE">
      <w:pPr>
        <w:spacing w:line="219" w:lineRule="auto"/>
        <w:sectPr>
          <w:footerReference r:id="rId8" w:type="default"/>
          <w:pgSz w:w="11906" w:h="16838"/>
          <w:pgMar w:top="1431" w:right="1785" w:bottom="823" w:left="1598" w:header="0" w:footer="511" w:gutter="0"/>
          <w:cols w:space="720" w:num="1"/>
        </w:sectPr>
      </w:pPr>
    </w:p>
    <w:p w14:paraId="0D7F5926">
      <w:pPr>
        <w:pStyle w:val="2"/>
        <w:spacing w:before="99" w:line="219" w:lineRule="auto"/>
      </w:pPr>
      <w:r>
        <w:rPr>
          <w:spacing w:val="-2"/>
        </w:rPr>
        <w:t>89.我国上市公司风险信息披露的动机分析</w:t>
      </w:r>
    </w:p>
    <w:p w14:paraId="66B847EA">
      <w:pPr>
        <w:pStyle w:val="2"/>
        <w:spacing w:before="184" w:line="219" w:lineRule="auto"/>
      </w:pPr>
      <w:r>
        <w:rPr>
          <w:spacing w:val="-2"/>
        </w:rPr>
        <w:t>90.我国上市公司信息披露违规的原因分析</w:t>
      </w:r>
    </w:p>
    <w:p w14:paraId="0A4A7895">
      <w:pPr>
        <w:pStyle w:val="2"/>
        <w:spacing w:before="183" w:line="219" w:lineRule="auto"/>
      </w:pPr>
      <w:r>
        <w:rPr>
          <w:spacing w:val="-4"/>
        </w:rPr>
        <w:t>91.由XX事件看我国上市公司信息披露的完善</w:t>
      </w:r>
    </w:p>
    <w:p w14:paraId="3C537FE0">
      <w:pPr>
        <w:pStyle w:val="2"/>
        <w:spacing w:before="182" w:line="218" w:lineRule="auto"/>
      </w:pPr>
      <w:r>
        <w:rPr>
          <w:spacing w:val="-2"/>
        </w:rPr>
        <w:t>92.分部财务报告问题研究——基于XX案例分析</w:t>
      </w:r>
    </w:p>
    <w:p w14:paraId="23253D45">
      <w:pPr>
        <w:pStyle w:val="2"/>
        <w:spacing w:before="184" w:line="219" w:lineRule="auto"/>
      </w:pPr>
      <w:r>
        <w:rPr>
          <w:spacing w:val="-2"/>
        </w:rPr>
        <w:t>93.反向收购及其会计处理的研究</w:t>
      </w:r>
    </w:p>
    <w:p w14:paraId="3A5BF02E">
      <w:pPr>
        <w:pStyle w:val="2"/>
        <w:spacing w:before="183" w:line="219" w:lineRule="auto"/>
      </w:pPr>
      <w:r>
        <w:rPr>
          <w:spacing w:val="-1"/>
        </w:rPr>
        <w:t>94.长期资产减值会计处理方法改变的影响探析</w:t>
      </w:r>
    </w:p>
    <w:p w14:paraId="70F6E525">
      <w:pPr>
        <w:pStyle w:val="2"/>
        <w:spacing w:before="183" w:line="219" w:lineRule="auto"/>
      </w:pPr>
      <w:r>
        <w:rPr>
          <w:spacing w:val="-2"/>
        </w:rPr>
        <w:t>95.对固定资产减值依据的探讨</w:t>
      </w:r>
    </w:p>
    <w:p w14:paraId="02D06E9B">
      <w:pPr>
        <w:pStyle w:val="2"/>
        <w:spacing w:before="184" w:line="219" w:lineRule="auto"/>
      </w:pPr>
      <w:r>
        <w:rPr>
          <w:spacing w:val="-2"/>
        </w:rPr>
        <w:t>96.固定资产减值准备计提的难点分析及对策</w:t>
      </w:r>
    </w:p>
    <w:p w14:paraId="2EA76517">
      <w:pPr>
        <w:pStyle w:val="2"/>
        <w:spacing w:before="183" w:line="219" w:lineRule="auto"/>
      </w:pPr>
      <w:r>
        <w:rPr>
          <w:spacing w:val="-2"/>
        </w:rPr>
        <w:t>97.资产减值会计处理难点问题探讨</w:t>
      </w:r>
    </w:p>
    <w:p w14:paraId="5B73BC7D">
      <w:pPr>
        <w:pStyle w:val="2"/>
        <w:spacing w:before="183" w:line="219" w:lineRule="auto"/>
      </w:pPr>
      <w:r>
        <w:rPr>
          <w:spacing w:val="-2"/>
        </w:rPr>
        <w:t>98.资产减值准则对会计信息质量的影响分析</w:t>
      </w:r>
    </w:p>
    <w:p w14:paraId="293F7DD3">
      <w:pPr>
        <w:pStyle w:val="2"/>
        <w:spacing w:before="183" w:line="219" w:lineRule="auto"/>
      </w:pPr>
      <w:r>
        <w:rPr>
          <w:spacing w:val="-2"/>
        </w:rPr>
        <w:t>99.资产减值会计的国际比较研究</w:t>
      </w:r>
    </w:p>
    <w:p w14:paraId="36E24DE5">
      <w:pPr>
        <w:pStyle w:val="2"/>
        <w:spacing w:before="185" w:line="219" w:lineRule="auto"/>
        <w:ind w:left="16"/>
      </w:pPr>
      <w:r>
        <w:rPr>
          <w:spacing w:val="-1"/>
        </w:rPr>
        <w:t>100.资产减值准则应用中相关问</w:t>
      </w:r>
      <w:r>
        <w:rPr>
          <w:spacing w:val="-2"/>
        </w:rPr>
        <w:t>题的思考</w:t>
      </w:r>
    </w:p>
    <w:p w14:paraId="27CB0A1B">
      <w:pPr>
        <w:pStyle w:val="2"/>
        <w:spacing w:before="182" w:line="219" w:lineRule="auto"/>
        <w:ind w:left="16"/>
      </w:pPr>
      <w:r>
        <w:rPr>
          <w:spacing w:val="-2"/>
        </w:rPr>
        <w:t>101.租赁会计准则应用难点问题探讨</w:t>
      </w:r>
    </w:p>
    <w:p w14:paraId="25086237">
      <w:pPr>
        <w:pStyle w:val="2"/>
        <w:spacing w:before="183" w:line="219" w:lineRule="auto"/>
        <w:ind w:left="16"/>
      </w:pPr>
      <w:r>
        <w:rPr>
          <w:spacing w:val="-2"/>
        </w:rPr>
        <w:t>102.售后回租的会计处理问题探讨</w:t>
      </w:r>
    </w:p>
    <w:p w14:paraId="64A37D8F">
      <w:pPr>
        <w:pStyle w:val="2"/>
        <w:spacing w:before="185" w:line="219" w:lineRule="auto"/>
        <w:ind w:left="16"/>
      </w:pPr>
      <w:r>
        <w:rPr>
          <w:spacing w:val="-2"/>
        </w:rPr>
        <w:t>103.债务重组准则应用问题探讨</w:t>
      </w:r>
    </w:p>
    <w:p w14:paraId="059F2B11">
      <w:pPr>
        <w:pStyle w:val="2"/>
        <w:spacing w:before="182" w:line="219" w:lineRule="auto"/>
        <w:ind w:left="16"/>
      </w:pPr>
      <w:r>
        <w:rPr>
          <w:spacing w:val="-2"/>
        </w:rPr>
        <w:t>104.债务重组准则的国际比较研究</w:t>
      </w:r>
    </w:p>
    <w:p w14:paraId="37501723">
      <w:pPr>
        <w:pStyle w:val="2"/>
        <w:spacing w:before="185" w:line="289" w:lineRule="auto"/>
        <w:ind w:left="16" w:right="3131"/>
      </w:pPr>
      <w:r>
        <w:rPr>
          <w:spacing w:val="-1"/>
        </w:rPr>
        <w:t>105.研发费用的会计处理及其对上市公司</w:t>
      </w:r>
      <w:r>
        <w:rPr>
          <w:spacing w:val="-2"/>
        </w:rPr>
        <w:t>的影响106.研发费用处理的比较研究</w:t>
      </w:r>
    </w:p>
    <w:p w14:paraId="447FB0DD">
      <w:pPr>
        <w:pStyle w:val="2"/>
        <w:spacing w:before="184" w:line="289" w:lineRule="auto"/>
        <w:ind w:left="16" w:right="3131"/>
      </w:pPr>
      <w:r>
        <w:rPr>
          <w:spacing w:val="-1"/>
        </w:rPr>
        <w:t>107.研究开发费用会计处理的国际比较及</w:t>
      </w:r>
      <w:r>
        <w:rPr>
          <w:spacing w:val="-2"/>
        </w:rPr>
        <w:t>其启示108.高科技企业研发费用的会计处理</w:t>
      </w:r>
    </w:p>
    <w:p w14:paraId="4AECC8D7">
      <w:pPr>
        <w:pStyle w:val="2"/>
        <w:spacing w:before="183" w:line="219" w:lineRule="auto"/>
        <w:ind w:left="16"/>
      </w:pPr>
      <w:r>
        <w:rPr>
          <w:spacing w:val="-2"/>
        </w:rPr>
        <w:t>109.无形资产会计的国际比较研究</w:t>
      </w:r>
    </w:p>
    <w:p w14:paraId="43DD1A5B">
      <w:pPr>
        <w:pStyle w:val="2"/>
        <w:spacing w:before="185" w:line="219" w:lineRule="auto"/>
        <w:ind w:left="16"/>
      </w:pPr>
      <w:r>
        <w:rPr>
          <w:spacing w:val="-2"/>
        </w:rPr>
        <w:t>110.无形资产确认与计量问题探讨</w:t>
      </w:r>
    </w:p>
    <w:p w14:paraId="1011D4DC">
      <w:pPr>
        <w:pStyle w:val="2"/>
        <w:spacing w:before="183" w:line="219" w:lineRule="auto"/>
        <w:ind w:left="16"/>
      </w:pPr>
      <w:r>
        <w:rPr>
          <w:spacing w:val="-2"/>
        </w:rPr>
        <w:t>111.上市公司无形资产信息披露的分析</w:t>
      </w:r>
    </w:p>
    <w:p w14:paraId="2CC22A32">
      <w:pPr>
        <w:pStyle w:val="2"/>
        <w:spacing w:before="183" w:line="219" w:lineRule="auto"/>
        <w:ind w:left="16"/>
      </w:pPr>
      <w:r>
        <w:rPr>
          <w:spacing w:val="-1"/>
        </w:rPr>
        <w:t>112.房地产企业完工百分比法应用问题</w:t>
      </w:r>
      <w:r>
        <w:rPr>
          <w:spacing w:val="-2"/>
        </w:rPr>
        <w:t>的探讨</w:t>
      </w:r>
    </w:p>
    <w:p w14:paraId="2BB7280B">
      <w:pPr>
        <w:pStyle w:val="2"/>
        <w:spacing w:before="183" w:line="220" w:lineRule="auto"/>
        <w:ind w:left="16"/>
      </w:pPr>
      <w:r>
        <w:rPr>
          <w:spacing w:val="-2"/>
        </w:rPr>
        <w:t>113.建造合同准则应用难点问题探析</w:t>
      </w:r>
    </w:p>
    <w:p w14:paraId="61B21BF6">
      <w:pPr>
        <w:pStyle w:val="2"/>
        <w:spacing w:before="182" w:line="218" w:lineRule="auto"/>
        <w:ind w:left="16"/>
      </w:pPr>
      <w:r>
        <w:rPr>
          <w:spacing w:val="-2"/>
        </w:rPr>
        <w:t>114.公允价值计量模式对企业收益的影响</w:t>
      </w:r>
    </w:p>
    <w:p w14:paraId="596E53A4">
      <w:pPr>
        <w:pStyle w:val="2"/>
        <w:spacing w:before="185" w:line="218" w:lineRule="auto"/>
        <w:ind w:left="16"/>
      </w:pPr>
      <w:r>
        <w:rPr>
          <w:spacing w:val="-2"/>
        </w:rPr>
        <w:t>115.公允价值对上市公司财务报表的影响</w:t>
      </w:r>
    </w:p>
    <w:p w14:paraId="4C4F59AA">
      <w:pPr>
        <w:pStyle w:val="2"/>
        <w:spacing w:before="184" w:line="218" w:lineRule="auto"/>
        <w:ind w:left="16"/>
      </w:pPr>
      <w:r>
        <w:rPr>
          <w:spacing w:val="-2"/>
        </w:rPr>
        <w:t>116.公允价值运用的国际比较研究</w:t>
      </w:r>
    </w:p>
    <w:p w14:paraId="79A67282">
      <w:pPr>
        <w:pStyle w:val="2"/>
        <w:spacing w:before="185" w:line="218" w:lineRule="auto"/>
        <w:ind w:left="16"/>
      </w:pPr>
      <w:r>
        <w:rPr>
          <w:spacing w:val="-2"/>
        </w:rPr>
        <w:t>117.公允价值会计的最新发展及其影响</w:t>
      </w:r>
    </w:p>
    <w:p w14:paraId="3576332A">
      <w:pPr>
        <w:pStyle w:val="2"/>
        <w:spacing w:before="184" w:line="218" w:lineRule="auto"/>
        <w:ind w:left="16"/>
      </w:pPr>
      <w:r>
        <w:rPr>
          <w:spacing w:val="-1"/>
        </w:rPr>
        <w:t>118.公允价值计量模式对会计信息质量</w:t>
      </w:r>
      <w:r>
        <w:rPr>
          <w:spacing w:val="-2"/>
        </w:rPr>
        <w:t>的影响</w:t>
      </w:r>
    </w:p>
    <w:p w14:paraId="2E63182D">
      <w:pPr>
        <w:spacing w:line="218" w:lineRule="auto"/>
        <w:sectPr>
          <w:footerReference r:id="rId9" w:type="default"/>
          <w:pgSz w:w="11906" w:h="16838"/>
          <w:pgMar w:top="1431" w:right="1785" w:bottom="823" w:left="1598" w:header="0" w:footer="511" w:gutter="0"/>
          <w:cols w:space="720" w:num="1"/>
        </w:sectPr>
      </w:pPr>
    </w:p>
    <w:p w14:paraId="3A0502D0">
      <w:pPr>
        <w:pStyle w:val="2"/>
        <w:spacing w:before="99" w:line="218" w:lineRule="auto"/>
      </w:pPr>
      <w:r>
        <w:rPr>
          <w:spacing w:val="-1"/>
        </w:rPr>
        <w:t>119.探析公允价值对会计信息质量特征</w:t>
      </w:r>
      <w:r>
        <w:rPr>
          <w:spacing w:val="-2"/>
        </w:rPr>
        <w:t>的影响</w:t>
      </w:r>
    </w:p>
    <w:p w14:paraId="69C43B61">
      <w:pPr>
        <w:pStyle w:val="2"/>
        <w:spacing w:before="184" w:line="218" w:lineRule="auto"/>
      </w:pPr>
      <w:r>
        <w:rPr>
          <w:spacing w:val="-1"/>
        </w:rPr>
        <w:t>120.公允价值计量模式下投资性房地产会计问题探析</w:t>
      </w:r>
    </w:p>
    <w:p w14:paraId="457CC710">
      <w:pPr>
        <w:pStyle w:val="2"/>
        <w:spacing w:before="184" w:line="218" w:lineRule="auto"/>
      </w:pPr>
      <w:r>
        <w:rPr>
          <w:spacing w:val="-1"/>
        </w:rPr>
        <w:t>121.浅析公允价值在我国会计准则</w:t>
      </w:r>
      <w:r>
        <w:rPr>
          <w:spacing w:val="-2"/>
        </w:rPr>
        <w:t>中的运用</w:t>
      </w:r>
    </w:p>
    <w:p w14:paraId="3DAD754C">
      <w:pPr>
        <w:pStyle w:val="2"/>
        <w:spacing w:before="184" w:line="218" w:lineRule="auto"/>
      </w:pPr>
      <w:r>
        <w:rPr>
          <w:spacing w:val="-2"/>
        </w:rPr>
        <w:t>122.浅析我国公允价值计量的影响与挑战</w:t>
      </w:r>
    </w:p>
    <w:p w14:paraId="58EC5E3E">
      <w:pPr>
        <w:pStyle w:val="2"/>
        <w:spacing w:before="185" w:line="218" w:lineRule="auto"/>
      </w:pPr>
      <w:r>
        <w:rPr>
          <w:spacing w:val="-1"/>
        </w:rPr>
        <w:t>123.试论公允价值运用对上市公司财务分析的影响</w:t>
      </w:r>
    </w:p>
    <w:p w14:paraId="1349EADE">
      <w:pPr>
        <w:pStyle w:val="2"/>
        <w:spacing w:before="184" w:line="218" w:lineRule="auto"/>
      </w:pPr>
      <w:r>
        <w:rPr>
          <w:spacing w:val="-1"/>
        </w:rPr>
        <w:t>124.探析公允价值计量属性的利弊及改</w:t>
      </w:r>
      <w:r>
        <w:rPr>
          <w:spacing w:val="-2"/>
        </w:rPr>
        <w:t>进建议</w:t>
      </w:r>
    </w:p>
    <w:p w14:paraId="5E15320E">
      <w:pPr>
        <w:pStyle w:val="2"/>
        <w:spacing w:before="185" w:line="289" w:lineRule="auto"/>
        <w:ind w:right="971"/>
        <w:rPr>
          <w:spacing w:val="-1"/>
        </w:rPr>
      </w:pPr>
      <w:r>
        <w:rPr>
          <w:spacing w:val="-1"/>
        </w:rPr>
        <w:t>125.探析公允价值计量属性－公允价值在非货币性资产交换中的运用</w:t>
      </w:r>
    </w:p>
    <w:p w14:paraId="5D78E180">
      <w:pPr>
        <w:pStyle w:val="2"/>
        <w:spacing w:before="185" w:line="289" w:lineRule="auto"/>
        <w:ind w:right="971"/>
      </w:pPr>
      <w:r>
        <w:rPr>
          <w:spacing w:val="-1"/>
        </w:rPr>
        <w:t>126.探析我国上市公司公允价值的运用</w:t>
      </w:r>
      <w:r>
        <w:rPr>
          <w:spacing w:val="-2"/>
        </w:rPr>
        <w:t>--基于XX案例的分析</w:t>
      </w:r>
    </w:p>
    <w:p w14:paraId="6157C32B">
      <w:pPr>
        <w:pStyle w:val="2"/>
        <w:spacing w:before="185" w:line="218" w:lineRule="auto"/>
      </w:pPr>
      <w:r>
        <w:rPr>
          <w:spacing w:val="-1"/>
        </w:rPr>
        <w:t>127.对我国会计环境下公允价值计</w:t>
      </w:r>
      <w:r>
        <w:rPr>
          <w:spacing w:val="-2"/>
        </w:rPr>
        <w:t>量的探析</w:t>
      </w:r>
    </w:p>
    <w:p w14:paraId="7B0BAC84">
      <w:pPr>
        <w:pStyle w:val="2"/>
        <w:spacing w:before="184" w:line="219" w:lineRule="auto"/>
      </w:pPr>
      <w:r>
        <w:rPr>
          <w:spacing w:val="-2"/>
        </w:rPr>
        <w:t>128.所得税会计准则的应用难点探析</w:t>
      </w:r>
    </w:p>
    <w:p w14:paraId="4B2FA2D3">
      <w:pPr>
        <w:pStyle w:val="2"/>
        <w:spacing w:before="184" w:line="218" w:lineRule="auto"/>
      </w:pPr>
      <w:r>
        <w:rPr>
          <w:spacing w:val="-1"/>
        </w:rPr>
        <w:t>129.我国所得税会计准则与国际财务报告准则的比较研究</w:t>
      </w:r>
    </w:p>
    <w:p w14:paraId="4F4C2BA8">
      <w:pPr>
        <w:pStyle w:val="2"/>
        <w:spacing w:before="184" w:line="219" w:lineRule="auto"/>
      </w:pPr>
      <w:r>
        <w:rPr>
          <w:spacing w:val="-2"/>
        </w:rPr>
        <w:t>130.关于投资性房地产会计问题的思考</w:t>
      </w:r>
    </w:p>
    <w:p w14:paraId="69B70FFF">
      <w:pPr>
        <w:pStyle w:val="2"/>
        <w:spacing w:before="184" w:line="219" w:lineRule="auto"/>
      </w:pPr>
      <w:r>
        <w:rPr>
          <w:spacing w:val="-2"/>
        </w:rPr>
        <w:t>131.浅谈投资性房地产计量模式的选择</w:t>
      </w:r>
    </w:p>
    <w:p w14:paraId="0B63BF97">
      <w:pPr>
        <w:pStyle w:val="2"/>
        <w:spacing w:before="182" w:line="219" w:lineRule="auto"/>
      </w:pPr>
      <w:r>
        <w:rPr>
          <w:spacing w:val="-2"/>
        </w:rPr>
        <w:t>132.外币折算会计准则的国际比较</w:t>
      </w:r>
    </w:p>
    <w:p w14:paraId="73A57718">
      <w:pPr>
        <w:pStyle w:val="2"/>
        <w:spacing w:before="185" w:line="219" w:lineRule="auto"/>
      </w:pPr>
      <w:r>
        <w:rPr>
          <w:spacing w:val="-2"/>
        </w:rPr>
        <w:t>133.每股收益准则应用探析</w:t>
      </w:r>
    </w:p>
    <w:p w14:paraId="7AAB270A">
      <w:pPr>
        <w:pStyle w:val="2"/>
        <w:spacing w:before="183" w:line="219" w:lineRule="auto"/>
      </w:pPr>
      <w:r>
        <w:rPr>
          <w:spacing w:val="-2"/>
        </w:rPr>
        <w:t>134.每股收益准则的国际比较</w:t>
      </w:r>
    </w:p>
    <w:p w14:paraId="477F894B">
      <w:pPr>
        <w:pStyle w:val="2"/>
        <w:spacing w:before="182" w:line="219" w:lineRule="auto"/>
      </w:pPr>
      <w:r>
        <w:rPr>
          <w:spacing w:val="-2"/>
        </w:rPr>
        <w:t>135.浅析我国外币报表折算方法的选择</w:t>
      </w:r>
    </w:p>
    <w:p w14:paraId="54A408EA">
      <w:pPr>
        <w:pStyle w:val="2"/>
        <w:spacing w:before="184" w:line="219" w:lineRule="auto"/>
      </w:pPr>
      <w:r>
        <w:rPr>
          <w:spacing w:val="-2"/>
        </w:rPr>
        <w:t>136.外币交易的会计处理问题探析</w:t>
      </w:r>
    </w:p>
    <w:p w14:paraId="39983E59">
      <w:pPr>
        <w:pStyle w:val="2"/>
        <w:spacing w:before="183" w:line="219" w:lineRule="auto"/>
      </w:pPr>
      <w:r>
        <w:rPr>
          <w:spacing w:val="-2"/>
        </w:rPr>
        <w:t>137.企业自创商誉的会计问题探讨</w:t>
      </w:r>
    </w:p>
    <w:p w14:paraId="782481BD">
      <w:pPr>
        <w:pStyle w:val="2"/>
        <w:spacing w:before="183" w:line="219" w:lineRule="auto"/>
      </w:pPr>
      <w:r>
        <w:rPr>
          <w:spacing w:val="-2"/>
        </w:rPr>
        <w:t>138.关于或有事项会计处理问题的思考</w:t>
      </w:r>
    </w:p>
    <w:p w14:paraId="4F51C208">
      <w:pPr>
        <w:pStyle w:val="2"/>
        <w:spacing w:before="184" w:line="219" w:lineRule="auto"/>
      </w:pPr>
      <w:r>
        <w:rPr>
          <w:spacing w:val="-2"/>
        </w:rPr>
        <w:t>139.关于上市公司或有事项披露的思考</w:t>
      </w:r>
    </w:p>
    <w:p w14:paraId="0602E8ED">
      <w:pPr>
        <w:pStyle w:val="2"/>
        <w:spacing w:before="183" w:line="219" w:lineRule="auto"/>
      </w:pPr>
      <w:r>
        <w:rPr>
          <w:spacing w:val="-2"/>
        </w:rPr>
        <w:t>140.借款费用准则应用及相关问题探究</w:t>
      </w:r>
    </w:p>
    <w:p w14:paraId="5CE26557">
      <w:pPr>
        <w:pStyle w:val="2"/>
        <w:spacing w:before="183" w:line="219" w:lineRule="auto"/>
      </w:pPr>
      <w:r>
        <w:rPr>
          <w:spacing w:val="-2"/>
        </w:rPr>
        <w:t>141.一般借款费用资本化问题的探讨</w:t>
      </w:r>
    </w:p>
    <w:p w14:paraId="614C1188">
      <w:pPr>
        <w:pStyle w:val="2"/>
        <w:spacing w:before="184" w:line="219" w:lineRule="auto"/>
      </w:pPr>
      <w:r>
        <w:rPr>
          <w:spacing w:val="-2"/>
        </w:rPr>
        <w:t>142.金融资产分类初探</w:t>
      </w:r>
    </w:p>
    <w:p w14:paraId="6B595226">
      <w:pPr>
        <w:pStyle w:val="2"/>
        <w:spacing w:before="184" w:line="219" w:lineRule="auto"/>
      </w:pPr>
      <w:r>
        <w:rPr>
          <w:spacing w:val="-2"/>
        </w:rPr>
        <w:t>143.对金融资产的确认和计量问题的探析</w:t>
      </w:r>
    </w:p>
    <w:p w14:paraId="6E16B9CF">
      <w:pPr>
        <w:pStyle w:val="2"/>
        <w:spacing w:before="183" w:line="219" w:lineRule="auto"/>
      </w:pPr>
      <w:r>
        <w:rPr>
          <w:spacing w:val="-2"/>
        </w:rPr>
        <w:t>144.金融负债的确认和计量问题的思考</w:t>
      </w:r>
    </w:p>
    <w:p w14:paraId="16233F7D">
      <w:pPr>
        <w:pStyle w:val="2"/>
        <w:spacing w:before="182" w:line="219" w:lineRule="auto"/>
      </w:pPr>
      <w:r>
        <w:rPr>
          <w:spacing w:val="-2"/>
        </w:rPr>
        <w:t>145.金融工具列报问题研究</w:t>
      </w:r>
    </w:p>
    <w:p w14:paraId="49150BAF">
      <w:pPr>
        <w:pStyle w:val="2"/>
        <w:spacing w:before="184" w:line="219" w:lineRule="auto"/>
      </w:pPr>
      <w:r>
        <w:rPr>
          <w:spacing w:val="-2"/>
        </w:rPr>
        <w:t>146.金融负债分类问题研究</w:t>
      </w:r>
    </w:p>
    <w:p w14:paraId="54A18315">
      <w:pPr>
        <w:pStyle w:val="2"/>
        <w:spacing w:before="184" w:line="219" w:lineRule="auto"/>
      </w:pPr>
      <w:r>
        <w:rPr>
          <w:spacing w:val="-4"/>
        </w:rPr>
        <w:t>147.由XX上市公司年报看金融资产的分类</w:t>
      </w:r>
    </w:p>
    <w:p w14:paraId="20055857">
      <w:pPr>
        <w:pStyle w:val="2"/>
        <w:spacing w:before="182" w:line="219" w:lineRule="auto"/>
      </w:pPr>
      <w:r>
        <w:rPr>
          <w:spacing w:val="-2"/>
        </w:rPr>
        <w:t>148.资产证券化对财务与会计影响——基于XX案件的研究</w:t>
      </w:r>
    </w:p>
    <w:p w14:paraId="4D14FAAE">
      <w:pPr>
        <w:spacing w:line="219" w:lineRule="auto"/>
        <w:sectPr>
          <w:footerReference r:id="rId10" w:type="default"/>
          <w:pgSz w:w="11906" w:h="16838"/>
          <w:pgMar w:top="1431" w:right="1785" w:bottom="823" w:left="1615" w:header="0" w:footer="511" w:gutter="0"/>
          <w:cols w:space="720" w:num="1"/>
        </w:sectPr>
      </w:pPr>
    </w:p>
    <w:p w14:paraId="035F4221">
      <w:pPr>
        <w:pStyle w:val="2"/>
        <w:spacing w:before="99" w:line="219" w:lineRule="auto"/>
      </w:pPr>
      <w:r>
        <w:rPr>
          <w:spacing w:val="-2"/>
        </w:rPr>
        <w:t>149.资产证券化的财务与会计问题探讨</w:t>
      </w:r>
    </w:p>
    <w:p w14:paraId="5C167513">
      <w:pPr>
        <w:pStyle w:val="2"/>
        <w:spacing w:before="183" w:line="219" w:lineRule="auto"/>
      </w:pPr>
      <w:r>
        <w:rPr>
          <w:spacing w:val="-2"/>
        </w:rPr>
        <w:t>150.长期股权投资会计处理问题研究</w:t>
      </w:r>
    </w:p>
    <w:p w14:paraId="28BDAA32">
      <w:pPr>
        <w:pStyle w:val="2"/>
        <w:spacing w:before="184" w:line="219" w:lineRule="auto"/>
      </w:pPr>
      <w:r>
        <w:rPr>
          <w:spacing w:val="-1"/>
        </w:rPr>
        <w:t>151.长期股权投资准则应用的相关</w:t>
      </w:r>
      <w:r>
        <w:rPr>
          <w:spacing w:val="-2"/>
        </w:rPr>
        <w:t>问题探析</w:t>
      </w:r>
    </w:p>
    <w:p w14:paraId="07B1243C">
      <w:pPr>
        <w:pStyle w:val="2"/>
        <w:spacing w:before="182" w:line="219" w:lineRule="auto"/>
      </w:pPr>
      <w:r>
        <w:rPr>
          <w:spacing w:val="-1"/>
        </w:rPr>
        <w:t>152.长期股权投资核算方法的转换及处置问题研究</w:t>
      </w:r>
    </w:p>
    <w:p w14:paraId="000BC400">
      <w:pPr>
        <w:pStyle w:val="2"/>
        <w:spacing w:before="183" w:line="219" w:lineRule="auto"/>
      </w:pPr>
      <w:r>
        <w:rPr>
          <w:spacing w:val="-2"/>
        </w:rPr>
        <w:t>153.每股收益的计算与列报问题研究</w:t>
      </w:r>
    </w:p>
    <w:p w14:paraId="7ECD3188">
      <w:pPr>
        <w:pStyle w:val="2"/>
        <w:spacing w:before="183" w:line="218" w:lineRule="auto"/>
      </w:pPr>
      <w:r>
        <w:rPr>
          <w:spacing w:val="-1"/>
        </w:rPr>
        <w:t>154.我国企业会计准则与国际财务报告准则的趋同研究</w:t>
      </w:r>
    </w:p>
    <w:p w14:paraId="01E2C5AD">
      <w:pPr>
        <w:pStyle w:val="2"/>
        <w:spacing w:before="184" w:line="219" w:lineRule="auto"/>
      </w:pPr>
      <w:r>
        <w:rPr>
          <w:spacing w:val="-2"/>
        </w:rPr>
        <w:t>155.商誉的会计处理问题研究</w:t>
      </w:r>
    </w:p>
    <w:p w14:paraId="23C60EE0">
      <w:pPr>
        <w:pStyle w:val="2"/>
        <w:spacing w:before="184" w:line="219" w:lineRule="auto"/>
      </w:pPr>
      <w:r>
        <w:rPr>
          <w:spacing w:val="-2"/>
        </w:rPr>
        <w:t>156.股权支付准则初探</w:t>
      </w:r>
    </w:p>
    <w:p w14:paraId="01BAE843">
      <w:pPr>
        <w:pStyle w:val="2"/>
        <w:spacing w:before="184" w:line="219" w:lineRule="auto"/>
      </w:pPr>
      <w:r>
        <w:rPr>
          <w:spacing w:val="-2"/>
        </w:rPr>
        <w:t>157.股权支付准则应用难点探讨</w:t>
      </w:r>
    </w:p>
    <w:p w14:paraId="2CAB4D13">
      <w:pPr>
        <w:pStyle w:val="2"/>
        <w:spacing w:before="182" w:line="219" w:lineRule="auto"/>
      </w:pPr>
      <w:r>
        <w:rPr>
          <w:spacing w:val="-1"/>
        </w:rPr>
        <w:t>158.固定资产后续支出的会计处理问</w:t>
      </w:r>
      <w:r>
        <w:rPr>
          <w:spacing w:val="-2"/>
        </w:rPr>
        <w:t>题探讨</w:t>
      </w:r>
    </w:p>
    <w:p w14:paraId="7E9AA3D9">
      <w:pPr>
        <w:pStyle w:val="2"/>
        <w:spacing w:before="184" w:line="219" w:lineRule="auto"/>
      </w:pPr>
      <w:r>
        <w:rPr>
          <w:spacing w:val="-2"/>
        </w:rPr>
        <w:t>159.浅议关联方披露准则在实务中的应用</w:t>
      </w:r>
    </w:p>
    <w:p w14:paraId="52FE0E4A">
      <w:pPr>
        <w:pStyle w:val="2"/>
        <w:spacing w:before="184" w:line="289" w:lineRule="auto"/>
        <w:ind w:right="1931"/>
        <w:rPr>
          <w:spacing w:val="-1"/>
        </w:rPr>
      </w:pPr>
      <w:r>
        <w:rPr>
          <w:spacing w:val="-1"/>
        </w:rPr>
        <w:t>160.利用关联交易进行盈余管理的动机剖析及防范问题研究</w:t>
      </w:r>
    </w:p>
    <w:p w14:paraId="369113F2">
      <w:pPr>
        <w:pStyle w:val="2"/>
        <w:spacing w:before="184" w:line="289" w:lineRule="auto"/>
        <w:ind w:right="1931"/>
      </w:pPr>
      <w:r>
        <w:rPr>
          <w:spacing w:val="-1"/>
        </w:rPr>
        <w:t>161.我国上市公司关联交易的现状及治理对策研究</w:t>
      </w:r>
    </w:p>
    <w:p w14:paraId="5856F6A2">
      <w:pPr>
        <w:pStyle w:val="2"/>
        <w:spacing w:before="184" w:line="219" w:lineRule="auto"/>
      </w:pPr>
      <w:r>
        <w:rPr>
          <w:spacing w:val="-1"/>
        </w:rPr>
        <w:t>162.我国上市公司关联交易与盈余管理的联动分析</w:t>
      </w:r>
    </w:p>
    <w:p w14:paraId="015288E9">
      <w:pPr>
        <w:pStyle w:val="2"/>
        <w:spacing w:before="183" w:line="219" w:lineRule="auto"/>
      </w:pPr>
      <w:r>
        <w:rPr>
          <w:spacing w:val="-1"/>
        </w:rPr>
        <w:t>163.同一控制下企业合并的会计处理</w:t>
      </w:r>
      <w:r>
        <w:rPr>
          <w:spacing w:val="-2"/>
        </w:rPr>
        <w:t>问题探讨</w:t>
      </w:r>
    </w:p>
    <w:p w14:paraId="60094B24">
      <w:pPr>
        <w:pStyle w:val="2"/>
        <w:spacing w:before="183" w:line="219" w:lineRule="auto"/>
      </w:pPr>
      <w:r>
        <w:rPr>
          <w:spacing w:val="-1"/>
        </w:rPr>
        <w:t>164.非同一控制下企业合并的会计处理问</w:t>
      </w:r>
      <w:r>
        <w:rPr>
          <w:spacing w:val="-2"/>
        </w:rPr>
        <w:t>题探讨</w:t>
      </w:r>
    </w:p>
    <w:p w14:paraId="1E607238">
      <w:pPr>
        <w:pStyle w:val="2"/>
        <w:spacing w:before="184" w:line="219" w:lineRule="auto"/>
      </w:pPr>
      <w:r>
        <w:rPr>
          <w:spacing w:val="-2"/>
        </w:rPr>
        <w:t>165.企业合并准则中的应用难点探析</w:t>
      </w:r>
    </w:p>
    <w:p w14:paraId="4F21BC3A">
      <w:pPr>
        <w:pStyle w:val="2"/>
        <w:spacing w:before="183" w:line="219" w:lineRule="auto"/>
      </w:pPr>
      <w:r>
        <w:rPr>
          <w:spacing w:val="-1"/>
        </w:rPr>
        <w:t>166.合并财务报表准则的应用难点</w:t>
      </w:r>
      <w:r>
        <w:rPr>
          <w:spacing w:val="-2"/>
        </w:rPr>
        <w:t>问题探讨</w:t>
      </w:r>
    </w:p>
    <w:p w14:paraId="677944C4">
      <w:pPr>
        <w:pStyle w:val="2"/>
        <w:spacing w:before="183" w:line="219" w:lineRule="auto"/>
      </w:pPr>
      <w:r>
        <w:rPr>
          <w:spacing w:val="-1"/>
        </w:rPr>
        <w:t>167.资产负债表日后调整事项的会计处理问题探析</w:t>
      </w:r>
    </w:p>
    <w:p w14:paraId="31E7A9DA">
      <w:pPr>
        <w:pStyle w:val="2"/>
        <w:spacing w:before="184" w:line="219" w:lineRule="auto"/>
      </w:pPr>
      <w:r>
        <w:rPr>
          <w:spacing w:val="-1"/>
        </w:rPr>
        <w:t>168.资产负债表日后事项准则的应用问</w:t>
      </w:r>
      <w:r>
        <w:rPr>
          <w:spacing w:val="-2"/>
        </w:rPr>
        <w:t>题初探</w:t>
      </w:r>
    </w:p>
    <w:p w14:paraId="4EA6FC75">
      <w:pPr>
        <w:pStyle w:val="2"/>
        <w:spacing w:before="182" w:line="219" w:lineRule="auto"/>
      </w:pPr>
      <w:r>
        <w:rPr>
          <w:spacing w:val="-2"/>
        </w:rPr>
        <w:t>169.企业社会责任会计目标研究</w:t>
      </w:r>
    </w:p>
    <w:p w14:paraId="73D5D380">
      <w:pPr>
        <w:pStyle w:val="2"/>
        <w:spacing w:before="184" w:line="219" w:lineRule="auto"/>
      </w:pPr>
      <w:r>
        <w:rPr>
          <w:spacing w:val="-2"/>
        </w:rPr>
        <w:t>170.浅谈环境实证会计——基于XX案例分析</w:t>
      </w:r>
    </w:p>
    <w:p w14:paraId="2BC0080B">
      <w:pPr>
        <w:pStyle w:val="2"/>
        <w:spacing w:before="183" w:line="219" w:lineRule="auto"/>
      </w:pPr>
      <w:r>
        <w:rPr>
          <w:spacing w:val="-2"/>
        </w:rPr>
        <w:t>171.我国政府会计引入权责发生制的思考</w:t>
      </w:r>
    </w:p>
    <w:p w14:paraId="4711D0AD">
      <w:pPr>
        <w:pStyle w:val="2"/>
        <w:spacing w:before="183" w:line="219" w:lineRule="auto"/>
      </w:pPr>
      <w:r>
        <w:rPr>
          <w:spacing w:val="-2"/>
        </w:rPr>
        <w:t>172.行政单位会计存在的问题及对策研究</w:t>
      </w:r>
    </w:p>
    <w:p w14:paraId="66B88B89">
      <w:pPr>
        <w:pStyle w:val="2"/>
        <w:spacing w:before="184" w:line="219" w:lineRule="auto"/>
      </w:pPr>
      <w:r>
        <w:rPr>
          <w:spacing w:val="-1"/>
        </w:rPr>
        <w:t>173.关于政府会计信息失真的现状与改进问题研究</w:t>
      </w:r>
    </w:p>
    <w:p w14:paraId="665B394F">
      <w:pPr>
        <w:pStyle w:val="2"/>
        <w:spacing w:before="183" w:line="219" w:lineRule="auto"/>
      </w:pPr>
      <w:r>
        <w:rPr>
          <w:spacing w:val="-2"/>
        </w:rPr>
        <w:t>174.人力资源会计的计量问题探讨</w:t>
      </w:r>
    </w:p>
    <w:p w14:paraId="2D8C7761">
      <w:pPr>
        <w:pStyle w:val="2"/>
        <w:spacing w:before="183" w:line="219" w:lineRule="auto"/>
      </w:pPr>
      <w:r>
        <w:rPr>
          <w:spacing w:val="-2"/>
        </w:rPr>
        <w:t>175.人力资源会计特征研究</w:t>
      </w:r>
    </w:p>
    <w:p w14:paraId="6FE6AA77">
      <w:pPr>
        <w:pStyle w:val="2"/>
        <w:spacing w:before="184" w:line="219" w:lineRule="auto"/>
      </w:pPr>
      <w:r>
        <w:rPr>
          <w:spacing w:val="-2"/>
        </w:rPr>
        <w:t>176.公共部门会计与财务若干问题探讨</w:t>
      </w:r>
    </w:p>
    <w:p w14:paraId="24446D82">
      <w:pPr>
        <w:pStyle w:val="2"/>
        <w:spacing w:before="183" w:line="219" w:lineRule="auto"/>
      </w:pPr>
      <w:r>
        <w:rPr>
          <w:spacing w:val="-4"/>
        </w:rPr>
        <w:t>177.中国慈善业会计与财务研究</w:t>
      </w:r>
    </w:p>
    <w:p w14:paraId="40FFF8A0">
      <w:pPr>
        <w:pStyle w:val="2"/>
        <w:spacing w:before="183" w:line="219" w:lineRule="auto"/>
      </w:pPr>
      <w:r>
        <w:rPr>
          <w:spacing w:val="-2"/>
        </w:rPr>
        <w:t>178.会计准则对企业利润操纵的影响探析</w:t>
      </w:r>
    </w:p>
    <w:p w14:paraId="144EADC1">
      <w:pPr>
        <w:spacing w:line="219" w:lineRule="auto"/>
        <w:sectPr>
          <w:footerReference r:id="rId11" w:type="default"/>
          <w:pgSz w:w="11906" w:h="16838"/>
          <w:pgMar w:top="1431" w:right="1785" w:bottom="823" w:left="1615" w:header="0" w:footer="511" w:gutter="0"/>
          <w:cols w:space="720" w:num="1"/>
        </w:sectPr>
      </w:pPr>
    </w:p>
    <w:p w14:paraId="52B1A1EA">
      <w:pPr>
        <w:pStyle w:val="2"/>
        <w:spacing w:before="100" w:line="219" w:lineRule="auto"/>
        <w:ind w:left="14"/>
      </w:pPr>
      <w:r>
        <w:rPr>
          <w:spacing w:val="-2"/>
        </w:rPr>
        <w:t>179.财务报表质量问题探讨</w:t>
      </w:r>
    </w:p>
    <w:p w14:paraId="6D850FED">
      <w:pPr>
        <w:pStyle w:val="2"/>
        <w:spacing w:before="182" w:line="219" w:lineRule="auto"/>
        <w:ind w:left="14"/>
      </w:pPr>
      <w:r>
        <w:rPr>
          <w:spacing w:val="-2"/>
        </w:rPr>
        <w:t>180.会计信息质量的探讨</w:t>
      </w:r>
    </w:p>
    <w:p w14:paraId="0438C428">
      <w:pPr>
        <w:pStyle w:val="2"/>
        <w:spacing w:before="184" w:line="219" w:lineRule="auto"/>
        <w:ind w:left="14"/>
      </w:pPr>
      <w:r>
        <w:rPr>
          <w:spacing w:val="-2"/>
        </w:rPr>
        <w:t>181.企业利得和损失初探</w:t>
      </w:r>
    </w:p>
    <w:p w14:paraId="08120583">
      <w:pPr>
        <w:pStyle w:val="2"/>
        <w:spacing w:before="183" w:line="219" w:lineRule="auto"/>
        <w:ind w:left="14"/>
      </w:pPr>
      <w:r>
        <w:rPr>
          <w:spacing w:val="-2"/>
        </w:rPr>
        <w:t>182.企业对外投资业务核算探索</w:t>
      </w:r>
    </w:p>
    <w:p w14:paraId="321D3A85">
      <w:pPr>
        <w:pStyle w:val="2"/>
        <w:spacing w:before="182" w:line="219" w:lineRule="auto"/>
        <w:ind w:left="14"/>
      </w:pPr>
      <w:r>
        <w:rPr>
          <w:spacing w:val="-1"/>
        </w:rPr>
        <w:t>183.资产的税务会计与企业会计</w:t>
      </w:r>
      <w:r>
        <w:rPr>
          <w:spacing w:val="-2"/>
        </w:rPr>
        <w:t>差异分析</w:t>
      </w:r>
    </w:p>
    <w:p w14:paraId="6C1014AC">
      <w:pPr>
        <w:pStyle w:val="2"/>
        <w:spacing w:before="183" w:line="219" w:lineRule="auto"/>
        <w:ind w:left="14"/>
      </w:pPr>
      <w:r>
        <w:rPr>
          <w:spacing w:val="-2"/>
        </w:rPr>
        <w:t>184.信息化环境下的错账更正方法研究</w:t>
      </w:r>
    </w:p>
    <w:p w14:paraId="69E17C9A">
      <w:pPr>
        <w:pStyle w:val="2"/>
        <w:spacing w:before="184" w:line="289" w:lineRule="auto"/>
        <w:ind w:left="14" w:right="2171"/>
      </w:pPr>
      <w:r>
        <w:rPr>
          <w:spacing w:val="-1"/>
        </w:rPr>
        <w:t>185.信息化环境下的会计业务操作流程的规范与设计研究186.信息化环境下的原始数据采集及其质量</w:t>
      </w:r>
      <w:r>
        <w:rPr>
          <w:spacing w:val="-2"/>
        </w:rPr>
        <w:t>控制</w:t>
      </w:r>
    </w:p>
    <w:p w14:paraId="72E7FF0E">
      <w:pPr>
        <w:pStyle w:val="2"/>
        <w:spacing w:before="184" w:line="219" w:lineRule="auto"/>
        <w:ind w:left="14"/>
      </w:pPr>
      <w:r>
        <w:rPr>
          <w:spacing w:val="-2"/>
        </w:rPr>
        <w:t>187.应收款项减值损失的确认与计量研究</w:t>
      </w:r>
    </w:p>
    <w:p w14:paraId="22AB4019">
      <w:pPr>
        <w:pStyle w:val="2"/>
        <w:spacing w:before="184" w:line="219" w:lineRule="auto"/>
        <w:ind w:left="14"/>
      </w:pPr>
      <w:r>
        <w:rPr>
          <w:spacing w:val="-2"/>
        </w:rPr>
        <w:t>188.应收账款的风险分析及其防范</w:t>
      </w:r>
    </w:p>
    <w:p w14:paraId="1CADC7AE">
      <w:pPr>
        <w:pStyle w:val="2"/>
        <w:spacing w:before="183" w:line="219" w:lineRule="auto"/>
        <w:ind w:left="14"/>
      </w:pPr>
      <w:r>
        <w:rPr>
          <w:spacing w:val="-2"/>
        </w:rPr>
        <w:t>189.债务重组准则变迁及启示</w:t>
      </w:r>
    </w:p>
    <w:p w14:paraId="318C166C">
      <w:pPr>
        <w:pStyle w:val="2"/>
        <w:spacing w:before="182" w:line="219" w:lineRule="auto"/>
        <w:ind w:left="14"/>
      </w:pPr>
      <w:r>
        <w:rPr>
          <w:spacing w:val="-2"/>
        </w:rPr>
        <w:t>190.货币资金控制探索</w:t>
      </w:r>
    </w:p>
    <w:p w14:paraId="01456544">
      <w:pPr>
        <w:pStyle w:val="2"/>
        <w:spacing w:before="184" w:line="219" w:lineRule="auto"/>
        <w:ind w:left="14"/>
      </w:pPr>
      <w:r>
        <w:rPr>
          <w:spacing w:val="-2"/>
        </w:rPr>
        <w:t>191.企业会计制度设计依据分析</w:t>
      </w:r>
    </w:p>
    <w:p w14:paraId="536EC510">
      <w:pPr>
        <w:pStyle w:val="2"/>
        <w:spacing w:before="183" w:line="219" w:lineRule="auto"/>
        <w:ind w:left="14"/>
      </w:pPr>
      <w:r>
        <w:rPr>
          <w:spacing w:val="-1"/>
        </w:rPr>
        <w:t>192.集团公司会计制度设计中的主要影响因素分析</w:t>
      </w:r>
    </w:p>
    <w:p w14:paraId="19F1229B">
      <w:pPr>
        <w:pStyle w:val="2"/>
        <w:spacing w:before="183" w:line="219" w:lineRule="auto"/>
        <w:ind w:left="14"/>
      </w:pPr>
      <w:r>
        <w:rPr>
          <w:spacing w:val="-2"/>
        </w:rPr>
        <w:t>193.企业产品成本核算方法探索</w:t>
      </w:r>
    </w:p>
    <w:p w14:paraId="708FDCE2">
      <w:pPr>
        <w:pStyle w:val="2"/>
        <w:spacing w:before="185" w:line="219" w:lineRule="auto"/>
        <w:ind w:left="14"/>
      </w:pPr>
      <w:r>
        <w:rPr>
          <w:spacing w:val="-2"/>
        </w:rPr>
        <w:t>194.企业原始凭证审查探索</w:t>
      </w:r>
    </w:p>
    <w:p w14:paraId="19786575">
      <w:pPr>
        <w:pStyle w:val="2"/>
        <w:spacing w:before="182" w:line="218" w:lineRule="auto"/>
        <w:ind w:left="14"/>
      </w:pPr>
      <w:r>
        <w:rPr>
          <w:spacing w:val="-1"/>
        </w:rPr>
        <w:t>195.时间价值观影响下的企业财务管理模式</w:t>
      </w:r>
      <w:r>
        <w:rPr>
          <w:spacing w:val="-2"/>
        </w:rPr>
        <w:t>探索</w:t>
      </w:r>
    </w:p>
    <w:p w14:paraId="320B56A1">
      <w:pPr>
        <w:pStyle w:val="2"/>
        <w:spacing w:before="185" w:line="219" w:lineRule="auto"/>
        <w:ind w:left="14"/>
      </w:pPr>
      <w:r>
        <w:rPr>
          <w:spacing w:val="-2"/>
        </w:rPr>
        <w:t>196.企业现金管理探索</w:t>
      </w:r>
    </w:p>
    <w:p w14:paraId="12D631EE">
      <w:pPr>
        <w:pStyle w:val="2"/>
        <w:spacing w:before="183" w:line="219" w:lineRule="auto"/>
        <w:ind w:left="14"/>
      </w:pPr>
      <w:r>
        <w:rPr>
          <w:spacing w:val="-2"/>
        </w:rPr>
        <w:t>197.企业资本结构研究</w:t>
      </w:r>
    </w:p>
    <w:p w14:paraId="3FB13AA5">
      <w:pPr>
        <w:pStyle w:val="2"/>
        <w:spacing w:before="183" w:line="219" w:lineRule="auto"/>
        <w:ind w:left="14"/>
      </w:pPr>
      <w:r>
        <w:rPr>
          <w:spacing w:val="-2"/>
        </w:rPr>
        <w:t>198.增值税漏洞研究</w:t>
      </w:r>
    </w:p>
    <w:p w14:paraId="420197D5">
      <w:pPr>
        <w:pStyle w:val="2"/>
        <w:spacing w:before="183" w:line="219" w:lineRule="auto"/>
        <w:ind w:left="14"/>
      </w:pPr>
      <w:r>
        <w:rPr>
          <w:spacing w:val="-2"/>
        </w:rPr>
        <w:t>199.增值税核算中企业与税务局关系研究</w:t>
      </w:r>
    </w:p>
    <w:p w14:paraId="1B37C874">
      <w:pPr>
        <w:pStyle w:val="2"/>
        <w:spacing w:before="184" w:line="219" w:lineRule="auto"/>
      </w:pPr>
      <w:r>
        <w:rPr>
          <w:spacing w:val="-1"/>
        </w:rPr>
        <w:t>200.消费税核算研究</w:t>
      </w:r>
    </w:p>
    <w:p w14:paraId="5DDFC71D">
      <w:pPr>
        <w:pStyle w:val="2"/>
        <w:spacing w:before="183" w:line="219" w:lineRule="auto"/>
      </w:pPr>
      <w:r>
        <w:rPr>
          <w:spacing w:val="-1"/>
        </w:rPr>
        <w:t>201.我国会计模式改革取向探索</w:t>
      </w:r>
    </w:p>
    <w:p w14:paraId="2A2CE16A">
      <w:pPr>
        <w:pStyle w:val="2"/>
        <w:spacing w:before="183" w:line="219" w:lineRule="auto"/>
      </w:pPr>
      <w:r>
        <w:rPr>
          <w:spacing w:val="-1"/>
        </w:rPr>
        <w:t>202.我国与英国会计差别分析</w:t>
      </w:r>
    </w:p>
    <w:p w14:paraId="438F0D41">
      <w:pPr>
        <w:pStyle w:val="2"/>
        <w:spacing w:before="184" w:line="219" w:lineRule="auto"/>
      </w:pPr>
      <w:r>
        <w:rPr>
          <w:spacing w:val="-1"/>
        </w:rPr>
        <w:t>203.德国会计模式对我国会计改革的影响</w:t>
      </w:r>
    </w:p>
    <w:p w14:paraId="4C3354D6">
      <w:pPr>
        <w:pStyle w:val="2"/>
        <w:spacing w:before="183" w:line="219" w:lineRule="auto"/>
      </w:pPr>
      <w:r>
        <w:rPr>
          <w:spacing w:val="-1"/>
        </w:rPr>
        <w:t>204.我国现行会计与美国会计模式比较</w:t>
      </w:r>
    </w:p>
    <w:p w14:paraId="762B4491">
      <w:pPr>
        <w:pStyle w:val="2"/>
        <w:spacing w:before="183" w:line="219" w:lineRule="auto"/>
      </w:pPr>
      <w:r>
        <w:rPr>
          <w:spacing w:val="-1"/>
        </w:rPr>
        <w:t>205.会计配比应用研究</w:t>
      </w:r>
    </w:p>
    <w:p w14:paraId="2D192B6B">
      <w:pPr>
        <w:pStyle w:val="2"/>
        <w:spacing w:before="184" w:line="219" w:lineRule="auto"/>
      </w:pPr>
      <w:r>
        <w:rPr>
          <w:spacing w:val="-1"/>
        </w:rPr>
        <w:t>206.现金流量表编制方法研究</w:t>
      </w:r>
    </w:p>
    <w:p w14:paraId="7E9F3C3F">
      <w:pPr>
        <w:pStyle w:val="2"/>
        <w:spacing w:before="183" w:line="219" w:lineRule="auto"/>
      </w:pPr>
      <w:r>
        <w:rPr>
          <w:spacing w:val="-1"/>
        </w:rPr>
        <w:t>207.决策有用观指导下的会计改革探索</w:t>
      </w:r>
    </w:p>
    <w:p w14:paraId="6D42F096">
      <w:pPr>
        <w:pStyle w:val="2"/>
        <w:spacing w:before="183" w:line="219" w:lineRule="auto"/>
      </w:pPr>
      <w:r>
        <w:rPr>
          <w:spacing w:val="-1"/>
        </w:rPr>
        <w:t>208.会计人员职业道德与会计责任研究</w:t>
      </w:r>
    </w:p>
    <w:p w14:paraId="66204C9D">
      <w:pPr>
        <w:spacing w:line="219" w:lineRule="auto"/>
        <w:sectPr>
          <w:footerReference r:id="rId12" w:type="default"/>
          <w:pgSz w:w="11906" w:h="16838"/>
          <w:pgMar w:top="1431" w:right="1785" w:bottom="823" w:left="1600" w:header="0" w:footer="511" w:gutter="0"/>
          <w:cols w:space="720" w:num="1"/>
        </w:sectPr>
      </w:pPr>
    </w:p>
    <w:p w14:paraId="6F159090">
      <w:pPr>
        <w:pStyle w:val="2"/>
        <w:spacing w:before="99" w:line="219" w:lineRule="auto"/>
      </w:pPr>
      <w:r>
        <w:rPr>
          <w:spacing w:val="-1"/>
        </w:rPr>
        <w:t>209.社会审计人员判断能力研究</w:t>
      </w:r>
    </w:p>
    <w:p w14:paraId="64C05126">
      <w:pPr>
        <w:pStyle w:val="2"/>
        <w:spacing w:before="183" w:line="219" w:lineRule="auto"/>
      </w:pPr>
      <w:r>
        <w:rPr>
          <w:spacing w:val="-1"/>
        </w:rPr>
        <w:t>210.注册会计师审计程序研究</w:t>
      </w:r>
    </w:p>
    <w:p w14:paraId="090304F5">
      <w:pPr>
        <w:pStyle w:val="2"/>
        <w:spacing w:before="183" w:line="219" w:lineRule="auto"/>
      </w:pPr>
      <w:r>
        <w:rPr>
          <w:spacing w:val="-1"/>
        </w:rPr>
        <w:t>211.注册会计师审计风险控制研究</w:t>
      </w:r>
    </w:p>
    <w:p w14:paraId="4B39E85C">
      <w:pPr>
        <w:pStyle w:val="2"/>
        <w:spacing w:before="183" w:line="218" w:lineRule="auto"/>
      </w:pPr>
      <w:r>
        <w:rPr>
          <w:spacing w:val="-1"/>
        </w:rPr>
        <w:t>212.会计信息质量评价体系建设研究</w:t>
      </w:r>
    </w:p>
    <w:p w14:paraId="3919EE82">
      <w:pPr>
        <w:pStyle w:val="2"/>
        <w:spacing w:before="184" w:line="219" w:lineRule="auto"/>
      </w:pPr>
      <w:r>
        <w:rPr>
          <w:spacing w:val="-1"/>
        </w:rPr>
        <w:t>213.企业辅助制造费用分配研究</w:t>
      </w:r>
    </w:p>
    <w:p w14:paraId="48E9C3BC">
      <w:pPr>
        <w:pStyle w:val="2"/>
        <w:spacing w:before="183" w:line="219" w:lineRule="auto"/>
      </w:pPr>
      <w:r>
        <w:rPr>
          <w:spacing w:val="-1"/>
        </w:rPr>
        <w:t>214.企业税收筹划方法研究</w:t>
      </w:r>
    </w:p>
    <w:p w14:paraId="12B1D9E4">
      <w:pPr>
        <w:pStyle w:val="2"/>
        <w:spacing w:before="183" w:line="219" w:lineRule="auto"/>
      </w:pPr>
      <w:r>
        <w:rPr>
          <w:spacing w:val="-1"/>
        </w:rPr>
        <w:t>215.企业税收筹划的目的研究</w:t>
      </w:r>
    </w:p>
    <w:p w14:paraId="783D5EFF">
      <w:pPr>
        <w:pStyle w:val="2"/>
        <w:spacing w:before="184" w:line="219" w:lineRule="auto"/>
      </w:pPr>
      <w:r>
        <w:rPr>
          <w:spacing w:val="-1"/>
        </w:rPr>
        <w:t>216.企业合理税负探索</w:t>
      </w:r>
    </w:p>
    <w:p w14:paraId="281E8371">
      <w:pPr>
        <w:pStyle w:val="2"/>
        <w:spacing w:before="183" w:line="219" w:lineRule="auto"/>
      </w:pPr>
      <w:r>
        <w:rPr>
          <w:spacing w:val="-1"/>
        </w:rPr>
        <w:t>217.会计专业教育合理内容结构性研究</w:t>
      </w:r>
    </w:p>
    <w:p w14:paraId="3A3C7210">
      <w:pPr>
        <w:pStyle w:val="2"/>
        <w:spacing w:before="183" w:line="219" w:lineRule="auto"/>
      </w:pPr>
      <w:r>
        <w:rPr>
          <w:spacing w:val="-1"/>
        </w:rPr>
        <w:t>218.XX企业存货管理存在的问题</w:t>
      </w:r>
      <w:r>
        <w:rPr>
          <w:spacing w:val="-2"/>
        </w:rPr>
        <w:t>及对策</w:t>
      </w:r>
    </w:p>
    <w:p w14:paraId="02305747">
      <w:pPr>
        <w:pStyle w:val="2"/>
        <w:spacing w:before="183" w:line="219" w:lineRule="auto"/>
      </w:pPr>
      <w:r>
        <w:t>219.我国会计信息环境的探讨5</w:t>
      </w:r>
    </w:p>
    <w:p w14:paraId="1B83C031">
      <w:pPr>
        <w:pStyle w:val="2"/>
        <w:spacing w:before="184" w:line="219" w:lineRule="auto"/>
      </w:pPr>
      <w:r>
        <w:rPr>
          <w:spacing w:val="-1"/>
        </w:rPr>
        <w:t>220.可转换债券的会计处理方法探讨</w:t>
      </w:r>
    </w:p>
    <w:p w14:paraId="1DAC510F">
      <w:pPr>
        <w:pStyle w:val="2"/>
        <w:spacing w:before="183" w:line="219" w:lineRule="auto"/>
      </w:pPr>
      <w:r>
        <w:rPr>
          <w:spacing w:val="-1"/>
        </w:rPr>
        <w:t>221.试论表外融资对会计披露的影响及防范</w:t>
      </w:r>
    </w:p>
    <w:p w14:paraId="65D4A409">
      <w:pPr>
        <w:pStyle w:val="2"/>
        <w:spacing w:before="184" w:line="219" w:lineRule="auto"/>
      </w:pPr>
      <w:r>
        <w:rPr>
          <w:spacing w:val="-1"/>
        </w:rPr>
        <w:t>222.论企业应收帐款的管理与控制</w:t>
      </w:r>
    </w:p>
    <w:p w14:paraId="1243FFBE">
      <w:pPr>
        <w:pStyle w:val="2"/>
        <w:spacing w:before="184" w:line="289" w:lineRule="auto"/>
        <w:ind w:right="3131"/>
      </w:pPr>
      <w:r>
        <w:rPr>
          <w:spacing w:val="-1"/>
        </w:rPr>
        <w:t>223.信息技术发展对会计信息系统之挑战与变革224.ERP对会计实践的影响分析</w:t>
      </w:r>
    </w:p>
    <w:p w14:paraId="768201DA">
      <w:pPr>
        <w:pStyle w:val="2"/>
        <w:spacing w:before="184" w:line="219" w:lineRule="auto"/>
      </w:pPr>
      <w:r>
        <w:rPr>
          <w:spacing w:val="-2"/>
        </w:rPr>
        <w:t>225.谈ERP系统在财务管理中的应用</w:t>
      </w:r>
    </w:p>
    <w:p w14:paraId="3D68298C">
      <w:pPr>
        <w:pStyle w:val="2"/>
        <w:spacing w:before="183" w:line="219" w:lineRule="auto"/>
      </w:pPr>
      <w:r>
        <w:rPr>
          <w:spacing w:val="-2"/>
        </w:rPr>
        <w:t>226.本量利分析在XX企业的运用</w:t>
      </w:r>
    </w:p>
    <w:p w14:paraId="0D667353">
      <w:pPr>
        <w:pStyle w:val="2"/>
        <w:spacing w:before="183" w:line="218" w:lineRule="auto"/>
      </w:pPr>
      <w:r>
        <w:rPr>
          <w:spacing w:val="-3"/>
        </w:rPr>
        <w:t>227.自由现金流量在企业价值评估中的应用</w:t>
      </w:r>
    </w:p>
    <w:p w14:paraId="013440F7">
      <w:pPr>
        <w:pStyle w:val="2"/>
        <w:spacing w:before="185" w:line="219" w:lineRule="auto"/>
      </w:pPr>
      <w:r>
        <w:rPr>
          <w:spacing w:val="-1"/>
        </w:rPr>
        <w:t>228.上市公司审计存在的问题与对策</w:t>
      </w:r>
    </w:p>
    <w:p w14:paraId="3036081A">
      <w:pPr>
        <w:pStyle w:val="2"/>
        <w:spacing w:before="183" w:line="219" w:lineRule="auto"/>
      </w:pPr>
      <w:r>
        <w:rPr>
          <w:spacing w:val="-1"/>
        </w:rPr>
        <w:t>229.我国政府审计存在的问题与对策</w:t>
      </w:r>
    </w:p>
    <w:p w14:paraId="0BD9DDCA">
      <w:pPr>
        <w:pStyle w:val="2"/>
        <w:spacing w:before="184" w:line="219" w:lineRule="auto"/>
      </w:pPr>
      <w:r>
        <w:rPr>
          <w:spacing w:val="-1"/>
        </w:rPr>
        <w:t>230.论上市公司环境信息披露</w:t>
      </w:r>
    </w:p>
    <w:p w14:paraId="15D24F14">
      <w:pPr>
        <w:pStyle w:val="2"/>
        <w:spacing w:before="183" w:line="219" w:lineRule="auto"/>
      </w:pPr>
      <w:r>
        <w:rPr>
          <w:spacing w:val="-1"/>
        </w:rPr>
        <w:t>231.论企业财务信息失真的审计对策</w:t>
      </w:r>
    </w:p>
    <w:p w14:paraId="1C845DB9">
      <w:pPr>
        <w:pStyle w:val="2"/>
        <w:spacing w:before="183" w:line="219" w:lineRule="auto"/>
      </w:pPr>
      <w:r>
        <w:rPr>
          <w:spacing w:val="-3"/>
        </w:rPr>
        <w:t>232.中小企业会计监管问题研究</w:t>
      </w:r>
    </w:p>
    <w:p w14:paraId="0EB61190">
      <w:pPr>
        <w:pStyle w:val="2"/>
        <w:spacing w:before="183" w:line="219" w:lineRule="auto"/>
      </w:pPr>
      <w:r>
        <w:rPr>
          <w:spacing w:val="-1"/>
        </w:rPr>
        <w:t>233.网络环境下的会计信息内部控制问题研究</w:t>
      </w:r>
    </w:p>
    <w:p w14:paraId="4F949808">
      <w:pPr>
        <w:pStyle w:val="2"/>
        <w:spacing w:before="183" w:line="219" w:lineRule="auto"/>
      </w:pPr>
      <w:r>
        <w:rPr>
          <w:spacing w:val="-1"/>
        </w:rPr>
        <w:t>234.网络环境下</w:t>
      </w:r>
      <w:r>
        <w:fldChar w:fldCharType="begin"/>
      </w:r>
      <w:r>
        <w:instrText xml:space="preserve"> HYPERLINK "http://www.so.com/s?q=%E4%BC%9A%E8%AE%A1%E8%88%9E%E5%BC%8A&amp;ie=utf-8&amp;src=wenda_link" </w:instrText>
      </w:r>
      <w:r>
        <w:fldChar w:fldCharType="separate"/>
      </w:r>
      <w:r>
        <w:rPr>
          <w:spacing w:val="-1"/>
        </w:rPr>
        <w:t>会计舞弊</w:t>
      </w:r>
      <w:r>
        <w:rPr>
          <w:spacing w:val="-1"/>
        </w:rPr>
        <w:fldChar w:fldCharType="end"/>
      </w:r>
      <w:r>
        <w:rPr>
          <w:spacing w:val="-1"/>
        </w:rPr>
        <w:t>及其控制</w:t>
      </w:r>
    </w:p>
    <w:p w14:paraId="151B6988">
      <w:pPr>
        <w:pStyle w:val="2"/>
        <w:spacing w:before="184" w:line="219" w:lineRule="auto"/>
      </w:pPr>
      <w:r>
        <w:rPr>
          <w:spacing w:val="-1"/>
        </w:rPr>
        <w:t>235.关于破产清算会计若干问题的思考</w:t>
      </w:r>
    </w:p>
    <w:p w14:paraId="13D52B90">
      <w:pPr>
        <w:pStyle w:val="2"/>
        <w:spacing w:before="183" w:line="219" w:lineRule="auto"/>
      </w:pPr>
      <w:r>
        <w:rPr>
          <w:spacing w:val="-1"/>
        </w:rPr>
        <w:t>236.浅谈成本控制在我国零售业中的运用机制</w:t>
      </w:r>
    </w:p>
    <w:p w14:paraId="53F00741">
      <w:pPr>
        <w:pStyle w:val="2"/>
        <w:spacing w:before="183" w:line="219" w:lineRule="auto"/>
      </w:pPr>
      <w:r>
        <w:rPr>
          <w:spacing w:val="-1"/>
        </w:rPr>
        <w:t>237.浅谈企业的内部会计控制建设</w:t>
      </w:r>
    </w:p>
    <w:p w14:paraId="035FE7CC">
      <w:pPr>
        <w:pStyle w:val="2"/>
        <w:spacing w:before="184" w:line="219" w:lineRule="auto"/>
      </w:pPr>
      <w:r>
        <w:rPr>
          <w:spacing w:val="-1"/>
        </w:rPr>
        <w:t>238.电子商务时代企业财务管理的新趋势</w:t>
      </w:r>
    </w:p>
    <w:p w14:paraId="03B4D311">
      <w:pPr>
        <w:spacing w:line="219" w:lineRule="auto"/>
        <w:sectPr>
          <w:footerReference r:id="rId13" w:type="default"/>
          <w:pgSz w:w="11906" w:h="16838"/>
          <w:pgMar w:top="1431" w:right="1785" w:bottom="823" w:left="1600" w:header="0" w:footer="511" w:gutter="0"/>
          <w:cols w:space="720" w:num="1"/>
        </w:sectPr>
      </w:pPr>
    </w:p>
    <w:p w14:paraId="6BA48BB3">
      <w:pPr>
        <w:pStyle w:val="2"/>
        <w:spacing w:before="99" w:line="219" w:lineRule="auto"/>
      </w:pPr>
      <w:r>
        <w:rPr>
          <w:spacing w:val="-1"/>
        </w:rPr>
        <w:t>239.中小企业利用衍生金融工具可行性研究</w:t>
      </w:r>
    </w:p>
    <w:p w14:paraId="53BD5DCB">
      <w:pPr>
        <w:pStyle w:val="2"/>
        <w:spacing w:before="183" w:line="219" w:lineRule="auto"/>
      </w:pPr>
      <w:r>
        <w:rPr>
          <w:spacing w:val="-1"/>
        </w:rPr>
        <w:t>240.企业内部审计发展中的问题与对策研究</w:t>
      </w:r>
    </w:p>
    <w:p w14:paraId="6BC84379">
      <w:pPr>
        <w:pStyle w:val="2"/>
        <w:spacing w:before="183" w:line="219" w:lineRule="auto"/>
      </w:pPr>
      <w:r>
        <w:rPr>
          <w:spacing w:val="-1"/>
        </w:rPr>
        <w:t>241.论施工企业成本管理</w:t>
      </w:r>
    </w:p>
    <w:p w14:paraId="1A02DD22">
      <w:pPr>
        <w:pStyle w:val="2"/>
        <w:spacing w:before="183" w:line="219" w:lineRule="auto"/>
      </w:pPr>
      <w:r>
        <w:rPr>
          <w:spacing w:val="-1"/>
        </w:rPr>
        <w:t>242.论中国绿色会计</w:t>
      </w:r>
    </w:p>
    <w:p w14:paraId="200BD327">
      <w:pPr>
        <w:pStyle w:val="2"/>
        <w:spacing w:before="183" w:line="219" w:lineRule="auto"/>
      </w:pPr>
      <w:r>
        <w:rPr>
          <w:spacing w:val="-1"/>
        </w:rPr>
        <w:t>243.企业并购过程中的审计风险研究</w:t>
      </w:r>
    </w:p>
    <w:p w14:paraId="50AE7370">
      <w:pPr>
        <w:pStyle w:val="2"/>
        <w:spacing w:before="183" w:line="219" w:lineRule="auto"/>
      </w:pPr>
      <w:r>
        <w:rPr>
          <w:spacing w:val="-1"/>
        </w:rPr>
        <w:t>244.浅谈计算机网络环境下的注册会计师审计</w:t>
      </w:r>
    </w:p>
    <w:p w14:paraId="3C3A93F8">
      <w:pPr>
        <w:pStyle w:val="2"/>
        <w:spacing w:before="184" w:line="219" w:lineRule="auto"/>
      </w:pPr>
      <w:r>
        <w:rPr>
          <w:spacing w:val="-1"/>
        </w:rPr>
        <w:t>245.关于现阶段我国上市公司股利政策选择的探讨</w:t>
      </w:r>
    </w:p>
    <w:p w14:paraId="7AC4F206">
      <w:pPr>
        <w:pStyle w:val="2"/>
        <w:spacing w:before="183" w:line="218" w:lineRule="auto"/>
      </w:pPr>
      <w:r>
        <w:rPr>
          <w:spacing w:val="-1"/>
        </w:rPr>
        <w:t>246.公允价值应用对企业利润的影响分析</w:t>
      </w:r>
    </w:p>
    <w:p w14:paraId="25EBBAFC">
      <w:pPr>
        <w:pStyle w:val="2"/>
        <w:spacing w:before="184" w:line="219" w:lineRule="auto"/>
      </w:pPr>
      <w:r>
        <w:rPr>
          <w:spacing w:val="-1"/>
        </w:rPr>
        <w:t>247.上市公司关联信息披露现状研究</w:t>
      </w:r>
    </w:p>
    <w:p w14:paraId="128F5D8D">
      <w:pPr>
        <w:pStyle w:val="2"/>
        <w:spacing w:before="183" w:line="219" w:lineRule="auto"/>
      </w:pPr>
      <w:r>
        <w:rPr>
          <w:spacing w:val="-1"/>
        </w:rPr>
        <w:t>248.生物资产的确认、计量和披露研究</w:t>
      </w:r>
    </w:p>
    <w:p w14:paraId="5BDA143C">
      <w:pPr>
        <w:pStyle w:val="2"/>
        <w:spacing w:before="183" w:line="219" w:lineRule="auto"/>
      </w:pPr>
      <w:r>
        <w:rPr>
          <w:spacing w:val="-1"/>
        </w:rPr>
        <w:t>249.环境信息披露问题研究——以某某企业为例</w:t>
      </w:r>
    </w:p>
    <w:p w14:paraId="3E692D51">
      <w:pPr>
        <w:pStyle w:val="2"/>
        <w:spacing w:before="184" w:line="219" w:lineRule="auto"/>
      </w:pPr>
      <w:r>
        <w:rPr>
          <w:spacing w:val="-1"/>
        </w:rPr>
        <w:t>250.企业环境会计核算体系的构建研究</w:t>
      </w:r>
    </w:p>
    <w:p w14:paraId="1D768384">
      <w:pPr>
        <w:pStyle w:val="2"/>
        <w:spacing w:before="183" w:line="219" w:lineRule="auto"/>
      </w:pPr>
      <w:r>
        <w:rPr>
          <w:spacing w:val="-1"/>
        </w:rPr>
        <w:t>251.新经济环境下的会计理论与实践变革研究</w:t>
      </w:r>
    </w:p>
    <w:p w14:paraId="0A25DDF8">
      <w:pPr>
        <w:pStyle w:val="2"/>
        <w:spacing w:before="183" w:line="219" w:lineRule="auto"/>
      </w:pPr>
      <w:r>
        <w:rPr>
          <w:spacing w:val="-1"/>
        </w:rPr>
        <w:t>252.国家宏观调控下，房地产企业资金短缺问题研究</w:t>
      </w:r>
    </w:p>
    <w:p w14:paraId="68F259B4">
      <w:pPr>
        <w:pStyle w:val="2"/>
        <w:spacing w:before="184" w:line="219" w:lineRule="auto"/>
      </w:pPr>
      <w:r>
        <w:rPr>
          <w:spacing w:val="-1"/>
        </w:rPr>
        <w:t>253.大数据背景下管理会计的探讨</w:t>
      </w:r>
    </w:p>
    <w:p w14:paraId="57735CA4">
      <w:pPr>
        <w:pStyle w:val="2"/>
        <w:spacing w:before="183" w:line="219" w:lineRule="auto"/>
      </w:pPr>
      <w:r>
        <w:rPr>
          <w:spacing w:val="-1"/>
        </w:rPr>
        <w:t>254.大数据环境下企业财会工作的创新模式探讨</w:t>
      </w:r>
    </w:p>
    <w:p w14:paraId="16C0136A">
      <w:pPr>
        <w:pStyle w:val="2"/>
        <w:spacing w:before="183" w:line="219" w:lineRule="auto"/>
      </w:pPr>
      <w:r>
        <w:rPr>
          <w:spacing w:val="-1"/>
        </w:rPr>
        <w:t>255.大数据背景下企业财务会计向管理会计转型研究</w:t>
      </w:r>
    </w:p>
    <w:p w14:paraId="295494DE">
      <w:pPr>
        <w:pStyle w:val="2"/>
        <w:spacing w:before="184" w:line="219" w:lineRule="auto"/>
      </w:pPr>
      <w:r>
        <w:rPr>
          <w:spacing w:val="-1"/>
        </w:rPr>
        <w:t>256.基于云会计的H公司全面预算管理体</w:t>
      </w:r>
      <w:r>
        <w:rPr>
          <w:spacing w:val="-2"/>
        </w:rPr>
        <w:t>系构建研究</w:t>
      </w:r>
    </w:p>
    <w:p w14:paraId="087719D8">
      <w:pPr>
        <w:pStyle w:val="2"/>
        <w:spacing w:before="183" w:line="219" w:lineRule="auto"/>
      </w:pPr>
      <w:r>
        <w:rPr>
          <w:spacing w:val="-1"/>
        </w:rPr>
        <w:t>257.供应链融资模式创新研究</w:t>
      </w:r>
    </w:p>
    <w:p w14:paraId="1EE5F400">
      <w:pPr>
        <w:pStyle w:val="2"/>
        <w:spacing w:before="184" w:line="289" w:lineRule="auto"/>
        <w:ind w:right="2171"/>
        <w:rPr>
          <w:spacing w:val="-2"/>
        </w:rPr>
      </w:pPr>
      <w:r>
        <w:rPr>
          <w:spacing w:val="-2"/>
        </w:rPr>
        <w:t>258.“一带一路”背景下企业境外投资风险管理审计研究</w:t>
      </w:r>
    </w:p>
    <w:p w14:paraId="2A311BE5">
      <w:pPr>
        <w:pStyle w:val="2"/>
        <w:spacing w:before="184" w:line="289" w:lineRule="auto"/>
        <w:ind w:right="2171"/>
      </w:pPr>
      <w:r>
        <w:rPr>
          <w:spacing w:val="-1"/>
        </w:rPr>
        <w:t>259.碳排放权会计核算体系的构建</w:t>
      </w:r>
    </w:p>
    <w:p w14:paraId="6E940069">
      <w:pPr>
        <w:pStyle w:val="2"/>
        <w:spacing w:before="184" w:line="219" w:lineRule="auto"/>
      </w:pPr>
      <w:r>
        <w:rPr>
          <w:spacing w:val="-1"/>
        </w:rPr>
        <w:t>260.我国碳排放权会计确认与计量研究</w:t>
      </w:r>
    </w:p>
    <w:p w14:paraId="0EDC52DE">
      <w:pPr>
        <w:pStyle w:val="2"/>
        <w:spacing w:before="183" w:line="219" w:lineRule="auto"/>
      </w:pPr>
      <w:r>
        <w:rPr>
          <w:spacing w:val="-1"/>
        </w:rPr>
        <w:t>261.区块链技术在会计行业中的应用</w:t>
      </w:r>
    </w:p>
    <w:p w14:paraId="4AB4C58B">
      <w:pPr>
        <w:pStyle w:val="2"/>
        <w:spacing w:before="183" w:line="219" w:lineRule="auto"/>
      </w:pPr>
      <w:r>
        <w:rPr>
          <w:spacing w:val="-1"/>
        </w:rPr>
        <w:t>262.乡村振兴背景下农村会计现状分析</w:t>
      </w:r>
    </w:p>
    <w:p w14:paraId="2136E69B">
      <w:pPr>
        <w:pStyle w:val="2"/>
        <w:spacing w:before="184" w:line="219" w:lineRule="auto"/>
      </w:pPr>
      <w:r>
        <w:rPr>
          <w:spacing w:val="-1"/>
        </w:rPr>
        <w:t>263.人工智能对会计行业的影响研究</w:t>
      </w:r>
    </w:p>
    <w:p w14:paraId="70482DA0">
      <w:pPr>
        <w:pStyle w:val="2"/>
        <w:spacing w:before="184" w:line="219" w:lineRule="auto"/>
      </w:pPr>
      <w:r>
        <w:rPr>
          <w:spacing w:val="-1"/>
        </w:rPr>
        <w:t>264.新收入准则的实施对房地产企业的影响分析</w:t>
      </w:r>
    </w:p>
    <w:p w14:paraId="74CC7652">
      <w:pPr>
        <w:pStyle w:val="2"/>
        <w:spacing w:before="183" w:line="219" w:lineRule="auto"/>
      </w:pPr>
      <w:r>
        <w:rPr>
          <w:spacing w:val="-1"/>
        </w:rPr>
        <w:t>265.新收入准则的实施对电商企业收入核算的影响</w:t>
      </w:r>
    </w:p>
    <w:p w14:paraId="7BAA306F">
      <w:pPr>
        <w:pStyle w:val="2"/>
        <w:spacing w:before="183" w:line="219" w:lineRule="auto"/>
      </w:pPr>
      <w:r>
        <w:rPr>
          <w:spacing w:val="-1"/>
        </w:rPr>
        <w:t>266.新租赁准则对企业的财务影响</w:t>
      </w:r>
    </w:p>
    <w:p w14:paraId="7B366F9F">
      <w:pPr>
        <w:pStyle w:val="2"/>
        <w:spacing w:before="183" w:line="219" w:lineRule="auto"/>
      </w:pPr>
      <w:r>
        <w:rPr>
          <w:spacing w:val="-1"/>
        </w:rPr>
        <w:t>267.银行托管企业年金的会计核算与风险管理研究</w:t>
      </w:r>
    </w:p>
    <w:p w14:paraId="0C3C5761">
      <w:pPr>
        <w:pStyle w:val="2"/>
        <w:spacing w:before="183" w:line="219" w:lineRule="auto"/>
      </w:pPr>
      <w:r>
        <w:rPr>
          <w:spacing w:val="-1"/>
        </w:rPr>
        <w:t>268.基于地方政府债务管理角度下政府会计研究</w:t>
      </w:r>
    </w:p>
    <w:p w14:paraId="25E49BC8">
      <w:pPr>
        <w:spacing w:line="219" w:lineRule="auto"/>
        <w:sectPr>
          <w:footerReference r:id="rId14" w:type="default"/>
          <w:pgSz w:w="11906" w:h="16838"/>
          <w:pgMar w:top="1431" w:right="1785" w:bottom="823" w:left="1600" w:header="0" w:footer="511" w:gutter="0"/>
          <w:cols w:space="720" w:num="1"/>
        </w:sectPr>
      </w:pPr>
    </w:p>
    <w:p w14:paraId="3DD030BA">
      <w:pPr>
        <w:pStyle w:val="2"/>
        <w:spacing w:before="99" w:line="219" w:lineRule="auto"/>
      </w:pPr>
      <w:r>
        <w:rPr>
          <w:spacing w:val="-1"/>
        </w:rPr>
        <w:t>269.企业财务共享中心的构建研究</w:t>
      </w:r>
    </w:p>
    <w:p w14:paraId="548333AB">
      <w:pPr>
        <w:pStyle w:val="2"/>
        <w:spacing w:before="183" w:line="219" w:lineRule="auto"/>
      </w:pPr>
      <w:r>
        <w:rPr>
          <w:spacing w:val="-1"/>
        </w:rPr>
        <w:t>270.财务贡献模式对企业经营能力及绩效影响研究</w:t>
      </w:r>
    </w:p>
    <w:p w14:paraId="091026CA">
      <w:pPr>
        <w:pStyle w:val="2"/>
        <w:spacing w:before="183" w:line="219" w:lineRule="auto"/>
      </w:pPr>
      <w:r>
        <w:rPr>
          <w:spacing w:val="-1"/>
        </w:rPr>
        <w:t>271.私募基金会计核算与信息披露问题研究</w:t>
      </w:r>
    </w:p>
    <w:p w14:paraId="7DD2974B">
      <w:pPr>
        <w:pStyle w:val="2"/>
        <w:spacing w:before="183" w:line="219" w:lineRule="auto"/>
      </w:pPr>
      <w:r>
        <w:rPr>
          <w:spacing w:val="-1"/>
        </w:rPr>
        <w:t>272.生物资产的确认与计量研究</w:t>
      </w:r>
    </w:p>
    <w:p w14:paraId="203C27B8">
      <w:pPr>
        <w:pStyle w:val="2"/>
        <w:spacing w:before="184" w:line="289" w:lineRule="auto"/>
        <w:ind w:right="1691"/>
        <w:rPr>
          <w:spacing w:val="-2"/>
        </w:rPr>
      </w:pPr>
      <w:r>
        <w:rPr>
          <w:spacing w:val="-2"/>
        </w:rPr>
        <w:t>273.企业IPO失败的原因及对策研究分析——以某某企业为例</w:t>
      </w:r>
    </w:p>
    <w:p w14:paraId="184306C3">
      <w:pPr>
        <w:pStyle w:val="2"/>
        <w:spacing w:before="184" w:line="289" w:lineRule="auto"/>
        <w:ind w:right="1691"/>
      </w:pPr>
      <w:r>
        <w:rPr>
          <w:spacing w:val="-1"/>
        </w:rPr>
        <w:t>274.新金融工具准则对企业会计核算的影响</w:t>
      </w:r>
    </w:p>
    <w:p w14:paraId="2E5942B9">
      <w:pPr>
        <w:pStyle w:val="2"/>
        <w:spacing w:before="183" w:line="219" w:lineRule="auto"/>
      </w:pPr>
      <w:r>
        <w:rPr>
          <w:spacing w:val="-1"/>
        </w:rPr>
        <w:t>275.亏损合同业务的所得税会计处理分析</w:t>
      </w:r>
    </w:p>
    <w:p w14:paraId="53464159">
      <w:pPr>
        <w:pStyle w:val="2"/>
        <w:spacing w:before="183" w:line="219" w:lineRule="auto"/>
      </w:pPr>
      <w:r>
        <w:t>276.债务担保业务的所得税会计处理分析.</w:t>
      </w:r>
    </w:p>
    <w:p w14:paraId="02FC5CD6">
      <w:pPr>
        <w:pStyle w:val="2"/>
        <w:spacing w:before="184" w:line="219" w:lineRule="auto"/>
      </w:pPr>
      <w:r>
        <w:rPr>
          <w:spacing w:val="-1"/>
        </w:rPr>
        <w:t>277.产品质量保证的所得税会计处理分析</w:t>
      </w:r>
    </w:p>
    <w:p w14:paraId="69D493F8">
      <w:pPr>
        <w:pStyle w:val="2"/>
        <w:spacing w:before="183" w:line="219" w:lineRule="auto"/>
      </w:pPr>
      <w:r>
        <w:rPr>
          <w:spacing w:val="-1"/>
        </w:rPr>
        <w:t>278.债务重组所得税会计处理分析</w:t>
      </w:r>
    </w:p>
    <w:p w14:paraId="3BE2C85A">
      <w:pPr>
        <w:pStyle w:val="2"/>
        <w:spacing w:before="183" w:line="219" w:lineRule="auto"/>
      </w:pPr>
      <w:r>
        <w:rPr>
          <w:spacing w:val="-1"/>
        </w:rPr>
        <w:t>279.视同销售所得税会计处理分析</w:t>
      </w:r>
    </w:p>
    <w:p w14:paraId="376ABB37">
      <w:pPr>
        <w:pStyle w:val="2"/>
        <w:spacing w:before="183" w:line="219" w:lineRule="auto"/>
      </w:pPr>
      <w:r>
        <w:rPr>
          <w:spacing w:val="-1"/>
        </w:rPr>
        <w:t>280.售后回购所得税会计处理分析</w:t>
      </w:r>
    </w:p>
    <w:p w14:paraId="69802372">
      <w:pPr>
        <w:pStyle w:val="2"/>
        <w:spacing w:before="184" w:line="219" w:lineRule="auto"/>
      </w:pPr>
      <w:r>
        <w:rPr>
          <w:spacing w:val="-1"/>
        </w:rPr>
        <w:t>281.补贴收入所得税会计处理分析</w:t>
      </w:r>
    </w:p>
    <w:p w14:paraId="27148CF0">
      <w:pPr>
        <w:pStyle w:val="2"/>
        <w:spacing w:before="183" w:line="219" w:lineRule="auto"/>
      </w:pPr>
      <w:r>
        <w:rPr>
          <w:spacing w:val="-1"/>
        </w:rPr>
        <w:t>282.销售退回所得税会计处理分析</w:t>
      </w:r>
    </w:p>
    <w:p w14:paraId="636711F7">
      <w:pPr>
        <w:pStyle w:val="2"/>
        <w:spacing w:before="183" w:line="219" w:lineRule="auto"/>
      </w:pPr>
      <w:r>
        <w:rPr>
          <w:spacing w:val="-1"/>
        </w:rPr>
        <w:t>283.委托代销业务所得税会计处理分析</w:t>
      </w:r>
    </w:p>
    <w:p w14:paraId="09C0ADEB">
      <w:pPr>
        <w:pStyle w:val="2"/>
        <w:spacing w:before="184" w:line="219" w:lineRule="auto"/>
      </w:pPr>
      <w:r>
        <w:rPr>
          <w:spacing w:val="-1"/>
        </w:rPr>
        <w:t>284.受托代销业务所得税会计处理分析</w:t>
      </w:r>
    </w:p>
    <w:p w14:paraId="0262BB71">
      <w:pPr>
        <w:pStyle w:val="2"/>
        <w:spacing w:before="183" w:line="219" w:lineRule="auto"/>
      </w:pPr>
      <w:r>
        <w:rPr>
          <w:spacing w:val="-1"/>
        </w:rPr>
        <w:t>285.重大会计差错的所得税会计处理分析</w:t>
      </w:r>
    </w:p>
    <w:p w14:paraId="47993088">
      <w:pPr>
        <w:pStyle w:val="2"/>
        <w:spacing w:before="183" w:line="219" w:lineRule="auto"/>
      </w:pPr>
      <w:r>
        <w:rPr>
          <w:spacing w:val="-1"/>
        </w:rPr>
        <w:t>286.对外捐赠业务所得税会计处理分析</w:t>
      </w:r>
    </w:p>
    <w:p w14:paraId="1CAD763D">
      <w:pPr>
        <w:pStyle w:val="2"/>
        <w:spacing w:before="184" w:line="219" w:lineRule="auto"/>
      </w:pPr>
      <w:r>
        <w:rPr>
          <w:spacing w:val="-1"/>
        </w:rPr>
        <w:t>287.接受捐赠业务所得税会计处理分析</w:t>
      </w:r>
    </w:p>
    <w:p w14:paraId="3A36C100">
      <w:pPr>
        <w:pStyle w:val="2"/>
        <w:spacing w:before="183" w:line="219" w:lineRule="auto"/>
      </w:pPr>
      <w:r>
        <w:rPr>
          <w:spacing w:val="-1"/>
        </w:rPr>
        <w:t>288.借款费用所得税所得税会计处理分析</w:t>
      </w:r>
    </w:p>
    <w:p w14:paraId="79F6ECB1">
      <w:pPr>
        <w:pStyle w:val="2"/>
        <w:spacing w:before="183" w:line="219" w:lineRule="auto"/>
      </w:pPr>
      <w:r>
        <w:rPr>
          <w:spacing w:val="-1"/>
        </w:rPr>
        <w:t>289.我国预算会计的探讨</w:t>
      </w:r>
    </w:p>
    <w:p w14:paraId="27BD2DFB">
      <w:pPr>
        <w:pStyle w:val="2"/>
        <w:spacing w:before="183" w:line="219" w:lineRule="auto"/>
      </w:pPr>
      <w:r>
        <w:rPr>
          <w:spacing w:val="-1"/>
        </w:rPr>
        <w:t>290.事业单位改革对会计核算的影响</w:t>
      </w:r>
    </w:p>
    <w:p w14:paraId="4AFC4F09">
      <w:pPr>
        <w:pStyle w:val="2"/>
        <w:spacing w:before="184" w:line="219" w:lineRule="auto"/>
      </w:pPr>
      <w:r>
        <w:rPr>
          <w:spacing w:val="-1"/>
        </w:rPr>
        <w:t>291.企业激励制度与会计政策选择的探讨</w:t>
      </w:r>
    </w:p>
    <w:p w14:paraId="72678187">
      <w:pPr>
        <w:pStyle w:val="2"/>
        <w:spacing w:before="183" w:line="219" w:lineRule="auto"/>
      </w:pPr>
      <w:r>
        <w:rPr>
          <w:spacing w:val="-1"/>
        </w:rPr>
        <w:t>292.企业并购财务整合研究——以某某企业为例</w:t>
      </w:r>
    </w:p>
    <w:p w14:paraId="6B4C55C3">
      <w:pPr>
        <w:pStyle w:val="2"/>
        <w:spacing w:before="183" w:line="219" w:lineRule="auto"/>
      </w:pPr>
      <w:r>
        <w:rPr>
          <w:spacing w:val="-1"/>
        </w:rPr>
        <w:t>293.借壳上市财务舞弊问题研究</w:t>
      </w:r>
    </w:p>
    <w:p w14:paraId="1163526B">
      <w:pPr>
        <w:pStyle w:val="2"/>
        <w:spacing w:before="184" w:line="219" w:lineRule="auto"/>
      </w:pPr>
      <w:r>
        <w:rPr>
          <w:spacing w:val="-1"/>
        </w:rPr>
        <w:t>294.企业全面预算管理的研究</w:t>
      </w:r>
    </w:p>
    <w:p w14:paraId="5828BDE8">
      <w:pPr>
        <w:pStyle w:val="2"/>
        <w:spacing w:before="183" w:line="219" w:lineRule="auto"/>
      </w:pPr>
      <w:r>
        <w:rPr>
          <w:spacing w:val="-1"/>
        </w:rPr>
        <w:t>295.公司盈余管理及治理研究</w:t>
      </w:r>
    </w:p>
    <w:p w14:paraId="11CA9328">
      <w:pPr>
        <w:pStyle w:val="2"/>
        <w:spacing w:before="183" w:line="219" w:lineRule="auto"/>
      </w:pPr>
      <w:r>
        <w:rPr>
          <w:spacing w:val="-1"/>
        </w:rPr>
        <w:t>296.企业研发支出信息披露研究</w:t>
      </w:r>
    </w:p>
    <w:p w14:paraId="7B1B3B46">
      <w:pPr>
        <w:pStyle w:val="2"/>
        <w:spacing w:before="184" w:line="219" w:lineRule="auto"/>
      </w:pPr>
      <w:r>
        <w:rPr>
          <w:spacing w:val="-1"/>
        </w:rPr>
        <w:t>297.社会责任会计信息披露研究</w:t>
      </w:r>
    </w:p>
    <w:p w14:paraId="56BCC5A3">
      <w:pPr>
        <w:pStyle w:val="2"/>
        <w:spacing w:before="183" w:line="218" w:lineRule="auto"/>
      </w:pPr>
      <w:r>
        <w:rPr>
          <w:spacing w:val="-1"/>
        </w:rPr>
        <w:t>298.商业银行内部控制评价研究</w:t>
      </w:r>
    </w:p>
    <w:p w14:paraId="28210293">
      <w:pPr>
        <w:spacing w:line="218" w:lineRule="auto"/>
        <w:sectPr>
          <w:footerReference r:id="rId15" w:type="default"/>
          <w:pgSz w:w="11906" w:h="16838"/>
          <w:pgMar w:top="1431" w:right="1785" w:bottom="823" w:left="1600" w:header="0" w:footer="511" w:gutter="0"/>
          <w:cols w:space="720" w:num="1"/>
        </w:sectPr>
      </w:pPr>
    </w:p>
    <w:p w14:paraId="583F739D">
      <w:pPr>
        <w:pStyle w:val="2"/>
        <w:spacing w:before="99" w:line="219" w:lineRule="auto"/>
      </w:pPr>
      <w:r>
        <w:rPr>
          <w:spacing w:val="-1"/>
        </w:rPr>
        <w:t>299.部门预算执行审计研究</w:t>
      </w:r>
    </w:p>
    <w:p w14:paraId="344952C8">
      <w:pPr>
        <w:pStyle w:val="2"/>
        <w:spacing w:before="183" w:line="219" w:lineRule="auto"/>
        <w:ind w:left="1"/>
      </w:pPr>
      <w:r>
        <w:rPr>
          <w:spacing w:val="-1"/>
        </w:rPr>
        <w:t>300.扶贫资金审计的研究</w:t>
      </w:r>
    </w:p>
    <w:p w14:paraId="1D2AE528">
      <w:pPr>
        <w:pStyle w:val="2"/>
        <w:spacing w:before="183" w:line="219" w:lineRule="auto"/>
        <w:ind w:left="1"/>
      </w:pPr>
      <w:r>
        <w:rPr>
          <w:spacing w:val="-1"/>
        </w:rPr>
        <w:t>301.高新技术企业研发费用税务风险研究</w:t>
      </w:r>
    </w:p>
    <w:p w14:paraId="76F17B50">
      <w:pPr>
        <w:pStyle w:val="2"/>
        <w:spacing w:before="182" w:line="290" w:lineRule="auto"/>
        <w:ind w:left="1" w:right="1451"/>
        <w:rPr>
          <w:spacing w:val="-1"/>
        </w:rPr>
      </w:pPr>
      <w:r>
        <w:rPr>
          <w:spacing w:val="-1"/>
        </w:rPr>
        <w:t>302.国有企业混合所有制改革背景下企业财务管理体制优化研究</w:t>
      </w:r>
    </w:p>
    <w:p w14:paraId="7E111D9A">
      <w:pPr>
        <w:pStyle w:val="2"/>
        <w:spacing w:before="182" w:line="290" w:lineRule="auto"/>
        <w:ind w:left="1" w:right="1451"/>
      </w:pPr>
      <w:r>
        <w:rPr>
          <w:spacing w:val="-1"/>
        </w:rPr>
        <w:t>303.营改增对企业税负的影响</w:t>
      </w:r>
    </w:p>
    <w:p w14:paraId="6AFAE34A">
      <w:pPr>
        <w:spacing w:line="290" w:lineRule="auto"/>
      </w:pPr>
    </w:p>
    <w:p w14:paraId="3C109142">
      <w:pPr>
        <w:spacing w:line="290" w:lineRule="auto"/>
      </w:pPr>
    </w:p>
    <w:p w14:paraId="667653EC">
      <w:pPr>
        <w:spacing w:line="290" w:lineRule="auto"/>
      </w:pPr>
    </w:p>
    <w:p w14:paraId="2FA52CBD">
      <w:pPr>
        <w:spacing w:line="290" w:lineRule="auto"/>
      </w:pPr>
    </w:p>
    <w:p w14:paraId="73C448BD">
      <w:pPr>
        <w:spacing w:line="290" w:lineRule="auto"/>
      </w:pPr>
    </w:p>
    <w:p w14:paraId="054151A4">
      <w:pPr>
        <w:spacing w:line="290" w:lineRule="auto"/>
      </w:pPr>
    </w:p>
    <w:p w14:paraId="7DA9AB45">
      <w:pPr>
        <w:spacing w:line="290" w:lineRule="auto"/>
      </w:pPr>
    </w:p>
    <w:p w14:paraId="7283D269">
      <w:pPr>
        <w:spacing w:line="290" w:lineRule="auto"/>
      </w:pPr>
    </w:p>
    <w:p w14:paraId="3907D56B">
      <w:pPr>
        <w:spacing w:line="290" w:lineRule="auto"/>
      </w:pPr>
    </w:p>
    <w:p w14:paraId="5DC13B20">
      <w:pPr>
        <w:spacing w:line="290" w:lineRule="auto"/>
      </w:pPr>
    </w:p>
    <w:p w14:paraId="58B6D491">
      <w:pPr>
        <w:spacing w:line="290" w:lineRule="auto"/>
      </w:pPr>
    </w:p>
    <w:p w14:paraId="24B0BE90">
      <w:pPr>
        <w:spacing w:line="290" w:lineRule="auto"/>
      </w:pPr>
    </w:p>
    <w:p w14:paraId="0C7291AE">
      <w:pPr>
        <w:spacing w:line="290" w:lineRule="auto"/>
      </w:pPr>
    </w:p>
    <w:p w14:paraId="68B227FE">
      <w:pPr>
        <w:spacing w:line="290" w:lineRule="auto"/>
      </w:pPr>
    </w:p>
    <w:p w14:paraId="6BAE29F9">
      <w:pPr>
        <w:spacing w:line="290" w:lineRule="auto"/>
      </w:pPr>
    </w:p>
    <w:p w14:paraId="37646C50">
      <w:pPr>
        <w:spacing w:line="290" w:lineRule="auto"/>
      </w:pPr>
    </w:p>
    <w:p w14:paraId="09B2BD13">
      <w:pPr>
        <w:spacing w:line="290" w:lineRule="auto"/>
      </w:pPr>
    </w:p>
    <w:p w14:paraId="54D09536">
      <w:pPr>
        <w:spacing w:line="290" w:lineRule="auto"/>
      </w:pPr>
    </w:p>
    <w:p w14:paraId="6924B234">
      <w:pPr>
        <w:spacing w:line="290" w:lineRule="auto"/>
      </w:pPr>
    </w:p>
    <w:p w14:paraId="4EEEE377">
      <w:pPr>
        <w:spacing w:line="290" w:lineRule="auto"/>
      </w:pPr>
    </w:p>
    <w:p w14:paraId="3026CE09">
      <w:pPr>
        <w:spacing w:line="290" w:lineRule="auto"/>
      </w:pPr>
    </w:p>
    <w:p w14:paraId="78322B41">
      <w:pPr>
        <w:spacing w:line="290" w:lineRule="auto"/>
      </w:pPr>
    </w:p>
    <w:p w14:paraId="63FFBC82">
      <w:pPr>
        <w:spacing w:line="290" w:lineRule="auto"/>
      </w:pPr>
    </w:p>
    <w:p w14:paraId="4AE0127C">
      <w:pPr>
        <w:spacing w:line="290" w:lineRule="auto"/>
      </w:pPr>
    </w:p>
    <w:p w14:paraId="5FAF2827">
      <w:pPr>
        <w:spacing w:line="290" w:lineRule="auto"/>
      </w:pPr>
    </w:p>
    <w:p w14:paraId="330B7ED4">
      <w:pPr>
        <w:spacing w:line="290" w:lineRule="auto"/>
      </w:pPr>
    </w:p>
    <w:p w14:paraId="4DA0D05A">
      <w:pPr>
        <w:spacing w:line="290" w:lineRule="auto"/>
      </w:pPr>
    </w:p>
    <w:p w14:paraId="23632F06">
      <w:pPr>
        <w:spacing w:line="290" w:lineRule="auto"/>
      </w:pPr>
    </w:p>
    <w:p w14:paraId="34D8E064">
      <w:pPr>
        <w:spacing w:line="290" w:lineRule="auto"/>
      </w:pPr>
    </w:p>
    <w:p w14:paraId="645BF8AD">
      <w:pPr>
        <w:spacing w:line="290" w:lineRule="auto"/>
      </w:pPr>
    </w:p>
    <w:p w14:paraId="196C327B">
      <w:pPr>
        <w:spacing w:line="290" w:lineRule="auto"/>
      </w:pPr>
    </w:p>
    <w:p w14:paraId="0C896E23">
      <w:pPr>
        <w:spacing w:line="290" w:lineRule="auto"/>
      </w:pPr>
    </w:p>
    <w:p w14:paraId="00816A86">
      <w:pPr>
        <w:spacing w:line="290" w:lineRule="auto"/>
      </w:pPr>
    </w:p>
    <w:p w14:paraId="3CF87B7C">
      <w:pPr>
        <w:spacing w:line="290" w:lineRule="auto"/>
      </w:pPr>
    </w:p>
    <w:p w14:paraId="25FB61B4">
      <w:pPr>
        <w:spacing w:line="290" w:lineRule="auto"/>
      </w:pPr>
    </w:p>
    <w:p w14:paraId="36277CAE">
      <w:pPr>
        <w:spacing w:line="290" w:lineRule="auto"/>
      </w:pPr>
    </w:p>
    <w:p w14:paraId="118FB45E">
      <w:pPr>
        <w:spacing w:line="290" w:lineRule="auto"/>
      </w:pPr>
    </w:p>
    <w:p w14:paraId="562034A4">
      <w:pPr>
        <w:spacing w:line="290" w:lineRule="auto"/>
      </w:pPr>
    </w:p>
    <w:p w14:paraId="170750E1">
      <w:pPr>
        <w:spacing w:line="290" w:lineRule="auto"/>
      </w:pPr>
    </w:p>
    <w:p w14:paraId="038928AF">
      <w:pPr>
        <w:spacing w:line="290" w:lineRule="auto"/>
      </w:pPr>
    </w:p>
    <w:p w14:paraId="34BEF7BC">
      <w:pPr>
        <w:spacing w:line="290" w:lineRule="auto"/>
      </w:pPr>
    </w:p>
    <w:p w14:paraId="70ACBB62">
      <w:pPr>
        <w:spacing w:line="290" w:lineRule="auto"/>
      </w:pPr>
    </w:p>
    <w:p w14:paraId="3527506C">
      <w:pPr>
        <w:spacing w:line="290" w:lineRule="auto"/>
      </w:pPr>
    </w:p>
    <w:p w14:paraId="6F664535">
      <w:pPr>
        <w:pStyle w:val="2"/>
        <w:spacing w:before="99" w:line="219" w:lineRule="auto"/>
        <w:ind w:left="19"/>
      </w:pPr>
      <w:r>
        <w:rPr>
          <w:spacing w:val="-13"/>
        </w:rPr>
        <w:t>附</w:t>
      </w:r>
      <w:r>
        <w:rPr>
          <w:spacing w:val="10"/>
        </w:rPr>
        <w:t xml:space="preserve"> </w:t>
      </w:r>
      <w:r>
        <w:rPr>
          <w:spacing w:val="-13"/>
        </w:rPr>
        <w:t>录</w:t>
      </w:r>
      <w:r>
        <w:rPr>
          <w:rFonts w:hint="eastAsia"/>
          <w:spacing w:val="-13"/>
          <w:lang w:val="en-US" w:eastAsia="zh-CN"/>
        </w:rPr>
        <w:t xml:space="preserve">  </w:t>
      </w:r>
      <w:r>
        <w:rPr>
          <w:spacing w:val="-13"/>
        </w:rPr>
        <w:t>2</w:t>
      </w:r>
    </w:p>
    <w:p w14:paraId="1D7F42DF">
      <w:pPr>
        <w:spacing w:before="230" w:line="221" w:lineRule="auto"/>
        <w:ind w:firstLine="1181" w:firstLineChars="400"/>
        <w:rPr>
          <w:rFonts w:ascii="黑体" w:hAnsi="黑体" w:eastAsia="黑体" w:cs="黑体"/>
          <w:sz w:val="30"/>
          <w:szCs w:val="30"/>
        </w:rPr>
      </w:pPr>
      <w:r>
        <w:rPr>
          <w:rFonts w:ascii="黑体" w:hAnsi="黑体" w:eastAsia="黑体" w:cs="黑体"/>
          <w:b/>
          <w:bCs/>
          <w:spacing w:val="-3"/>
          <w:sz w:val="30"/>
          <w:szCs w:val="30"/>
        </w:rPr>
        <w:t>会计本科毕业论文（含学位论文）写作形式要求</w:t>
      </w:r>
    </w:p>
    <w:p w14:paraId="13AF22F6">
      <w:pPr>
        <w:spacing w:line="302" w:lineRule="auto"/>
        <w:rPr>
          <w:rFonts w:ascii="Arial"/>
          <w:sz w:val="21"/>
        </w:rPr>
      </w:pPr>
    </w:p>
    <w:p w14:paraId="612572B4">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为培养学生的学术素养，保证毕业论文（含学位论文）的规范性，提高毕业论文（含学位论文）质量，特制定本要求。</w:t>
      </w:r>
    </w:p>
    <w:p w14:paraId="3692EC31">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ascii="黑体" w:hAnsi="黑体" w:eastAsia="黑体" w:cs="黑体"/>
          <w:sz w:val="24"/>
          <w:szCs w:val="24"/>
        </w:rPr>
      </w:pPr>
      <w:r>
        <w:rPr>
          <w:rFonts w:hint="eastAsia" w:ascii="黑体" w:hAnsi="黑体" w:eastAsia="黑体" w:cs="黑体"/>
          <w:sz w:val="24"/>
          <w:szCs w:val="24"/>
        </w:rPr>
        <w:t>一、毕业论文（含学位论文）形式及内容</w:t>
      </w:r>
    </w:p>
    <w:p w14:paraId="7CC80E16">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毕业论文（含学位论文）由开题报告、题目、摘要、目录、正文、参考文献</w:t>
      </w:r>
      <w:r>
        <w:rPr>
          <w:rFonts w:hint="eastAsia"/>
          <w:sz w:val="24"/>
          <w:szCs w:val="24"/>
          <w:lang w:eastAsia="zh-CN"/>
        </w:rPr>
        <w:t>、</w:t>
      </w:r>
      <w:r>
        <w:rPr>
          <w:sz w:val="24"/>
          <w:szCs w:val="24"/>
        </w:rPr>
        <w:t>注释</w:t>
      </w:r>
      <w:r>
        <w:rPr>
          <w:rFonts w:hint="eastAsia"/>
          <w:sz w:val="24"/>
          <w:szCs w:val="24"/>
          <w:lang w:eastAsia="zh-CN"/>
        </w:rPr>
        <w:t>、</w:t>
      </w:r>
      <w:r>
        <w:rPr>
          <w:sz w:val="24"/>
          <w:szCs w:val="24"/>
        </w:rPr>
        <w:t>附录等部分组成</w:t>
      </w:r>
      <w:r>
        <w:rPr>
          <w:rFonts w:hint="eastAsia"/>
          <w:sz w:val="24"/>
          <w:szCs w:val="24"/>
          <w:lang w:eastAsia="zh-CN"/>
        </w:rPr>
        <w:t>，</w:t>
      </w:r>
      <w:r>
        <w:rPr>
          <w:sz w:val="24"/>
          <w:szCs w:val="24"/>
        </w:rPr>
        <w:t>具体要求如下：</w:t>
      </w:r>
    </w:p>
    <w:p w14:paraId="6AF17E51">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1.题目：力求简明、恰当，一般不超过25个汉字</w:t>
      </w:r>
      <w:r>
        <w:rPr>
          <w:rFonts w:hint="eastAsia"/>
          <w:sz w:val="24"/>
          <w:szCs w:val="24"/>
          <w:lang w:eastAsia="zh-CN"/>
        </w:rPr>
        <w:t>。</w:t>
      </w:r>
    </w:p>
    <w:p w14:paraId="751B042A">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2.摘要：应当以精炼、准确的语言，说明本论文研究的目的、方法及内容，展现论文的重要信息。字数不少于300字，关键词应当反映全文主要内容信息（不少于3个）</w:t>
      </w:r>
      <w:r>
        <w:rPr>
          <w:rFonts w:hint="eastAsia"/>
          <w:sz w:val="24"/>
          <w:szCs w:val="24"/>
          <w:lang w:eastAsia="zh-CN"/>
        </w:rPr>
        <w:t>。</w:t>
      </w:r>
    </w:p>
    <w:p w14:paraId="597F1AB1">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3. 目录：由标题名称和页码组成，内容包括正文篇章节的序号、标题、参考文献、附录等</w:t>
      </w:r>
      <w:r>
        <w:rPr>
          <w:rFonts w:hint="eastAsia"/>
          <w:sz w:val="24"/>
          <w:szCs w:val="24"/>
          <w:lang w:eastAsia="zh-CN"/>
        </w:rPr>
        <w:t>。</w:t>
      </w:r>
    </w:p>
    <w:p w14:paraId="2AA09251">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4.正文：为毕业论文（含学位论文）的主体，内容须合乎逻辑，层次分明，简练可读，应包括绪论、论文主体和结论等内容。其中绪论要求说明论文的选题、文献综述、写作背景、目的和创新点等，论文主体是论文的研究过程和主要内容，结论为论文总体 的总结性文字，要求明确、精炼地总括本论文的观点</w:t>
      </w:r>
      <w:r>
        <w:rPr>
          <w:rFonts w:hint="eastAsia"/>
          <w:sz w:val="24"/>
          <w:szCs w:val="24"/>
          <w:lang w:eastAsia="zh-CN"/>
        </w:rPr>
        <w:t>。</w:t>
      </w:r>
    </w:p>
    <w:p w14:paraId="20D4D825">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5.参考文献：是学生本人真正阅读过且在正文中有引用的文献，要求依次写明作者</w:t>
      </w:r>
      <w:r>
        <w:rPr>
          <w:rFonts w:hint="eastAsia"/>
          <w:sz w:val="24"/>
          <w:szCs w:val="24"/>
          <w:lang w:eastAsia="zh-CN"/>
        </w:rPr>
        <w:t>、</w:t>
      </w:r>
      <w:r>
        <w:rPr>
          <w:sz w:val="24"/>
          <w:szCs w:val="24"/>
        </w:rPr>
        <w:t>书名（文章题目）、出版单位（期刊名）、出版时间（期数）版次、页码等</w:t>
      </w:r>
      <w:r>
        <w:rPr>
          <w:rFonts w:hint="eastAsia"/>
          <w:sz w:val="24"/>
          <w:szCs w:val="24"/>
          <w:lang w:eastAsia="zh-CN"/>
        </w:rPr>
        <w:t>。</w:t>
      </w:r>
    </w:p>
    <w:p w14:paraId="501D905D">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6.注释：为论文中的字、词等作进一步说明的文字，以脚注形式置于该页下方，并在注释结尾标明所引用的页码</w:t>
      </w:r>
      <w:r>
        <w:rPr>
          <w:rFonts w:hint="eastAsia"/>
          <w:sz w:val="24"/>
          <w:szCs w:val="24"/>
          <w:lang w:eastAsia="zh-CN"/>
        </w:rPr>
        <w:t>。</w:t>
      </w:r>
    </w:p>
    <w:p w14:paraId="71795C82">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7.附录：对于不宜放在正文中，但有参考价值的内容，可编入附录中，如调查问卷</w:t>
      </w:r>
      <w:r>
        <w:rPr>
          <w:rFonts w:hint="eastAsia"/>
          <w:sz w:val="24"/>
          <w:szCs w:val="24"/>
          <w:lang w:eastAsia="zh-CN"/>
        </w:rPr>
        <w:t>、</w:t>
      </w:r>
      <w:r>
        <w:rPr>
          <w:sz w:val="24"/>
          <w:szCs w:val="24"/>
        </w:rPr>
        <w:t>计算机程序等。</w:t>
      </w:r>
    </w:p>
    <w:p w14:paraId="23C62517">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2" w:firstLineChars="200"/>
        <w:jc w:val="both"/>
        <w:textAlignment w:val="baseline"/>
        <w:rPr>
          <w:b/>
          <w:bCs/>
          <w:sz w:val="24"/>
          <w:szCs w:val="24"/>
        </w:rPr>
      </w:pPr>
      <w:r>
        <w:rPr>
          <w:b/>
          <w:bCs/>
          <w:sz w:val="24"/>
          <w:szCs w:val="24"/>
        </w:rPr>
        <w:t>二、毕业论文（含学位论文）篇幅</w:t>
      </w:r>
    </w:p>
    <w:p w14:paraId="25EFDCDA">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论文正文字数一般不少于 6000 字。</w:t>
      </w:r>
    </w:p>
    <w:p w14:paraId="6F518DDE">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2" w:firstLineChars="200"/>
        <w:jc w:val="both"/>
        <w:textAlignment w:val="baseline"/>
        <w:rPr>
          <w:sz w:val="24"/>
          <w:szCs w:val="24"/>
        </w:rPr>
      </w:pPr>
      <w:r>
        <w:rPr>
          <w:b/>
          <w:bCs/>
          <w:sz w:val="24"/>
          <w:szCs w:val="24"/>
        </w:rPr>
        <w:t>三、毕业论文（含学位论文）的打印、装订格式</w:t>
      </w:r>
    </w:p>
    <w:p w14:paraId="153B7915">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1.论文正文页面规格毕业论文（含学位论文）一律使用 A4 纸双面居中打印，小四号宋体字体，字符为标准间距，每段左空2字编写；版面设置数据参考值：页边距分别为上、下各2.6cm</w:t>
      </w:r>
      <w:r>
        <w:rPr>
          <w:rFonts w:hint="eastAsia"/>
          <w:sz w:val="24"/>
          <w:szCs w:val="24"/>
          <w:lang w:eastAsia="zh-CN"/>
        </w:rPr>
        <w:t>，</w:t>
      </w:r>
      <w:r>
        <w:rPr>
          <w:sz w:val="24"/>
          <w:szCs w:val="24"/>
        </w:rPr>
        <w:t>左、右各3cm；页眉、页脚各1.8cm。文字的行间距为1.5倍行距，段间距为0。</w:t>
      </w:r>
    </w:p>
    <w:p w14:paraId="7EE8187B">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2.装订顺序</w:t>
      </w:r>
    </w:p>
    <w:p w14:paraId="3BA2B114">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题名页（扉页）—原创性声明—授权声明—目录—摘要—正文—参考文献—附录—发表学术论文目录（可选）—后记或致谢（可选）。</w:t>
      </w:r>
    </w:p>
    <w:p w14:paraId="25453E93">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3.排版格式</w:t>
      </w:r>
    </w:p>
    <w:p w14:paraId="0CEBDDA3">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（1）目录</w:t>
      </w:r>
    </w:p>
    <w:p w14:paraId="50D0FBCF">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“目录”两字居中编排（小二号黑体字体加粗），两字间空1格（注：“一格 ”的标准为一个汉字，以下同），单倍行距，段前、段后各空24磅，下空1行为章、节、条或章、条、款及其开始页码，一般标记到三级标题。每一级标题的层次代号和文字为小四号黑体。</w:t>
      </w:r>
    </w:p>
    <w:p w14:paraId="1239A57D">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（2）摘要</w:t>
      </w:r>
    </w:p>
    <w:p w14:paraId="4D624C71">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“摘要”两字居中编排（小二号黑体字体加粗），两字间空1格，单倍行距，段前、段后各空24磅；</w:t>
      </w:r>
    </w:p>
    <w:p w14:paraId="5D1DAFDD">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“摘要”两字下空1行，编排摘要内容（四号宋体字体）。段落按照“首行缩进”格式，每段开头空2格，标点符号占1格；</w:t>
      </w:r>
    </w:p>
    <w:p w14:paraId="05E304BF">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摘要内容后下空1行左空2格编排“关键词 ”三字（四号黑体字体），其后为圆角冒号和关键词（四号宋体字体），关键词之间用分号分隔。</w:t>
      </w:r>
    </w:p>
    <w:p w14:paraId="6EB482D0">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（3）正文</w:t>
      </w:r>
    </w:p>
    <w:p w14:paraId="7190F86E">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第一层次：1级标题使用小二号黑体字体加粗，单倍行距，段前、段后各空24 磅，题序和标题之间以顿号隔开；</w:t>
      </w:r>
    </w:p>
    <w:p w14:paraId="79BE1BAF">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第二层次：2级标题使用小三号黑体字体加粗，单倍行距，段前、段后各空 18 磅</w:t>
      </w:r>
      <w:r>
        <w:rPr>
          <w:rFonts w:hint="eastAsia"/>
          <w:sz w:val="24"/>
          <w:szCs w:val="24"/>
          <w:lang w:eastAsia="zh-CN"/>
        </w:rPr>
        <w:t>。</w:t>
      </w:r>
    </w:p>
    <w:p w14:paraId="5F19E046">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第三层次：3级标题使用小四号黑体字体加粗，单倍行距，段前、段后各空 12 磅</w:t>
      </w:r>
      <w:r>
        <w:rPr>
          <w:rFonts w:hint="eastAsia"/>
          <w:sz w:val="24"/>
          <w:szCs w:val="24"/>
          <w:lang w:eastAsia="zh-CN"/>
        </w:rPr>
        <w:t>。</w:t>
      </w:r>
    </w:p>
    <w:p w14:paraId="39958CB7">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第四层次：4级标题使用小四号楷体字加粗</w:t>
      </w:r>
      <w:r>
        <w:rPr>
          <w:rFonts w:hint="eastAsia"/>
          <w:sz w:val="24"/>
          <w:szCs w:val="24"/>
          <w:lang w:eastAsia="zh-CN"/>
        </w:rPr>
        <w:t>。</w:t>
      </w:r>
    </w:p>
    <w:p w14:paraId="2796C393">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正文文字内容使用小四号宋体字体，文字的行间距为1.5倍行距，段间距为0。</w:t>
      </w:r>
    </w:p>
    <w:p w14:paraId="104F8D19">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（4）图表</w:t>
      </w:r>
    </w:p>
    <w:p w14:paraId="7FF6E940">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图的编号由“图”字和从1开始的阿拉伯数字组成，例如“图1”等。图应当有图题</w:t>
      </w:r>
      <w:r>
        <w:rPr>
          <w:rFonts w:hint="eastAsia"/>
          <w:sz w:val="24"/>
          <w:szCs w:val="24"/>
          <w:lang w:eastAsia="zh-CN"/>
        </w:rPr>
        <w:t>，</w:t>
      </w:r>
      <w:r>
        <w:rPr>
          <w:sz w:val="24"/>
          <w:szCs w:val="24"/>
        </w:rPr>
        <w:t>并置于图的编号之后。图的编号和图题应当置于图下方的居中位置</w:t>
      </w:r>
      <w:r>
        <w:rPr>
          <w:rFonts w:hint="eastAsia"/>
          <w:sz w:val="24"/>
          <w:szCs w:val="24"/>
          <w:lang w:eastAsia="zh-CN"/>
        </w:rPr>
        <w:t>。</w:t>
      </w:r>
    </w:p>
    <w:p w14:paraId="493589D2">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表的编号由“表”字和从1开始的阿拉伯数字组成，如“表1”、“表2”等。每张表应当有表题，置于表的编号之后。表的编号和表题应当置于表上方的居中位置。</w:t>
      </w:r>
    </w:p>
    <w:p w14:paraId="7635BF88">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（5）参考文献</w:t>
      </w:r>
    </w:p>
    <w:p w14:paraId="1F770996">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参考文献是文中引用的有具体文字来源的文献集合。按照 GB 7714《文后参考文献著 录规则》的规定执行。引用文献总数不少于 10 篇</w:t>
      </w:r>
      <w:r>
        <w:rPr>
          <w:rFonts w:hint="eastAsia"/>
          <w:sz w:val="24"/>
          <w:szCs w:val="24"/>
          <w:lang w:eastAsia="zh-CN"/>
        </w:rPr>
        <w:t>。</w:t>
      </w:r>
    </w:p>
    <w:p w14:paraId="1C6E7046">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参考文献以文献在整个论文中出现的次序用[1]、[2]、[3]……形式统一排序、依次 列出</w:t>
      </w:r>
      <w:r>
        <w:rPr>
          <w:rFonts w:hint="eastAsia"/>
          <w:sz w:val="24"/>
          <w:szCs w:val="24"/>
          <w:lang w:eastAsia="zh-CN"/>
        </w:rPr>
        <w:t>。</w:t>
      </w:r>
    </w:p>
    <w:p w14:paraId="18BC8131">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参考文献的表示格式为：</w:t>
      </w:r>
    </w:p>
    <w:p w14:paraId="5E8FC4A1">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著作: [序号]作者.书名[M].出版地:出版社,出版时间:引用部分起止页</w:t>
      </w:r>
    </w:p>
    <w:p w14:paraId="1F10989B">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期刊: [序号]作者.文章题目[J].期刊名,年,卷 (期):引用部分起止页</w:t>
      </w:r>
    </w:p>
    <w:p w14:paraId="4AEB7DC0">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会议论文集：[序号]作者.文集[C]名.出版地:出版者,出版时间:引用部分起止页 学位论文：[序号]作者.题名[D].保存地点:保存单位,年份:引用部分起止页</w:t>
      </w:r>
    </w:p>
    <w:p w14:paraId="27625314">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专利: [序号]专利申请者.题名:国别,专利号[P].发布日期.</w:t>
      </w:r>
    </w:p>
    <w:p w14:paraId="58821CCA">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（6）附录</w:t>
      </w:r>
    </w:p>
    <w:p w14:paraId="48E5E154">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依序编排为附录 1、附录 2……。附录中的图表公式另编排序号，与正文分开。</w:t>
      </w:r>
    </w:p>
    <w:p w14:paraId="65D06134">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（7）注释</w:t>
      </w:r>
    </w:p>
    <w:p w14:paraId="0B740FB5">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注释正文用小五号宋体，注释序号采用①②③④的方式使用上标表示，每页单独编 号。</w:t>
      </w:r>
    </w:p>
    <w:p w14:paraId="2923044C">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sectPr>
          <w:footerReference r:id="rId16" w:type="default"/>
          <w:pgSz w:w="11906" w:h="16838"/>
          <w:pgMar w:top="1431" w:right="1132" w:bottom="823" w:left="1598" w:header="0" w:footer="511" w:gutter="0"/>
          <w:cols w:space="720" w:num="1"/>
        </w:sectPr>
      </w:pPr>
    </w:p>
    <w:p w14:paraId="6837D7D6">
      <w:pPr>
        <w:pStyle w:val="2"/>
        <w:spacing w:before="179" w:line="354" w:lineRule="auto"/>
        <w:ind w:right="1685"/>
        <w:rPr>
          <w:rFonts w:hint="default" w:eastAsia="宋体"/>
          <w:b w:val="0"/>
          <w:bCs w:val="0"/>
          <w:spacing w:val="-7"/>
          <w:sz w:val="28"/>
          <w:szCs w:val="28"/>
          <w:lang w:val="en-US" w:eastAsia="zh-CN"/>
        </w:rPr>
      </w:pPr>
      <w:r>
        <w:rPr>
          <w:rFonts w:hint="eastAsia"/>
          <w:b w:val="0"/>
          <w:bCs w:val="0"/>
          <w:spacing w:val="-7"/>
          <w:sz w:val="28"/>
          <w:szCs w:val="28"/>
          <w:lang w:val="en-US" w:eastAsia="zh-CN"/>
        </w:rPr>
        <w:t>附 录 3</w:t>
      </w:r>
    </w:p>
    <w:p w14:paraId="01056BFE">
      <w:pPr>
        <w:pStyle w:val="2"/>
        <w:spacing w:before="179" w:line="354" w:lineRule="auto"/>
        <w:ind w:left="2749" w:right="1685" w:firstLine="466"/>
        <w:rPr>
          <w:b/>
          <w:bCs/>
          <w:spacing w:val="-7"/>
          <w:sz w:val="55"/>
          <w:szCs w:val="55"/>
        </w:rPr>
      </w:pPr>
    </w:p>
    <w:p w14:paraId="355C020D">
      <w:pPr>
        <w:pStyle w:val="2"/>
        <w:spacing w:before="179" w:line="354" w:lineRule="auto"/>
        <w:ind w:left="2749" w:right="1685" w:firstLine="466"/>
        <w:rPr>
          <w:sz w:val="55"/>
          <w:szCs w:val="55"/>
        </w:rPr>
      </w:pPr>
      <w:r>
        <w:rPr>
          <w:b/>
          <w:bCs/>
          <w:spacing w:val="-7"/>
          <w:sz w:val="55"/>
          <w:szCs w:val="55"/>
        </w:rPr>
        <w:t>国家开放大学</w:t>
      </w:r>
      <w:r>
        <w:rPr>
          <w:sz w:val="55"/>
          <w:szCs w:val="55"/>
        </w:rPr>
        <w:t xml:space="preserve"> </w:t>
      </w:r>
      <w:r>
        <w:rPr>
          <w:b/>
          <w:bCs/>
          <w:spacing w:val="1"/>
          <w:sz w:val="55"/>
          <w:szCs w:val="55"/>
        </w:rPr>
        <w:t>毕业论文评审表</w:t>
      </w:r>
    </w:p>
    <w:p w14:paraId="43F6AB08">
      <w:pPr>
        <w:spacing w:line="269" w:lineRule="auto"/>
        <w:rPr>
          <w:rFonts w:ascii="Arial"/>
          <w:sz w:val="21"/>
        </w:rPr>
      </w:pPr>
    </w:p>
    <w:p w14:paraId="56BFBAC7">
      <w:pPr>
        <w:spacing w:line="270" w:lineRule="auto"/>
        <w:rPr>
          <w:rFonts w:ascii="Arial"/>
          <w:sz w:val="21"/>
        </w:rPr>
      </w:pPr>
    </w:p>
    <w:p w14:paraId="31357380">
      <w:pPr>
        <w:spacing w:before="101" w:line="228" w:lineRule="auto"/>
        <w:ind w:left="239"/>
        <w:rPr>
          <w:rFonts w:ascii="黑体" w:hAnsi="黑体" w:eastAsia="黑体" w:cs="黑体"/>
          <w:sz w:val="31"/>
          <w:szCs w:val="31"/>
        </w:rPr>
      </w:pPr>
      <w:r>
        <w:rPr>
          <w:rFonts w:ascii="黑体" w:hAnsi="黑体" w:eastAsia="黑体" w:cs="黑体"/>
          <w:spacing w:val="-1"/>
          <w:sz w:val="31"/>
          <w:szCs w:val="31"/>
        </w:rPr>
        <w:t>题</w:t>
      </w:r>
      <w:r>
        <w:rPr>
          <w:rFonts w:ascii="黑体" w:hAnsi="黑体" w:eastAsia="黑体" w:cs="黑体"/>
          <w:spacing w:val="32"/>
          <w:sz w:val="31"/>
          <w:szCs w:val="31"/>
        </w:rPr>
        <w:t xml:space="preserve">  </w:t>
      </w:r>
      <w:r>
        <w:rPr>
          <w:rFonts w:ascii="黑体" w:hAnsi="黑体" w:eastAsia="黑体" w:cs="黑体"/>
          <w:spacing w:val="-1"/>
          <w:sz w:val="31"/>
          <w:szCs w:val="31"/>
        </w:rPr>
        <w:t>目</w:t>
      </w:r>
    </w:p>
    <w:p w14:paraId="1C5781D3">
      <w:pPr>
        <w:spacing w:before="85" w:line="1348" w:lineRule="exact"/>
        <w:ind w:firstLine="1421"/>
      </w:pPr>
      <w:r>
        <w:rPr>
          <w:position w:val="-26"/>
        </w:rPr>
        <w:drawing>
          <wp:inline distT="0" distB="0" distL="0" distR="0">
            <wp:extent cx="4330700" cy="855345"/>
            <wp:effectExtent l="0" t="0" r="0" b="8255"/>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0"/>
                    <a:stretch>
                      <a:fillRect/>
                    </a:stretch>
                  </pic:blipFill>
                  <pic:spPr>
                    <a:xfrm>
                      <a:off x="0" y="0"/>
                      <a:ext cx="4330700" cy="855852"/>
                    </a:xfrm>
                    <a:prstGeom prst="rect">
                      <a:avLst/>
                    </a:prstGeom>
                  </pic:spPr>
                </pic:pic>
              </a:graphicData>
            </a:graphic>
          </wp:inline>
        </w:drawing>
      </w:r>
    </w:p>
    <w:p w14:paraId="566DA920">
      <w:pPr>
        <w:spacing w:line="298" w:lineRule="auto"/>
        <w:rPr>
          <w:rFonts w:ascii="Arial"/>
          <w:sz w:val="21"/>
        </w:rPr>
      </w:pPr>
    </w:p>
    <w:p w14:paraId="6BEDB774">
      <w:pPr>
        <w:spacing w:line="298" w:lineRule="auto"/>
        <w:rPr>
          <w:rFonts w:ascii="Arial"/>
          <w:sz w:val="21"/>
        </w:rPr>
      </w:pPr>
    </w:p>
    <w:p w14:paraId="024FBB67">
      <w:pPr>
        <w:spacing w:line="299" w:lineRule="auto"/>
        <w:rPr>
          <w:rFonts w:ascii="Arial"/>
          <w:sz w:val="21"/>
        </w:rPr>
      </w:pPr>
    </w:p>
    <w:p w14:paraId="6F4FC09D">
      <w:pPr>
        <w:pStyle w:val="2"/>
        <w:spacing w:before="78" w:line="219" w:lineRule="auto"/>
        <w:ind w:left="239"/>
        <w:rPr>
          <w:sz w:val="24"/>
          <w:szCs w:val="24"/>
        </w:rPr>
      </w:pPr>
      <w:r>
        <w:rPr>
          <w:spacing w:val="-2"/>
          <w:sz w:val="24"/>
          <w:szCs w:val="24"/>
        </w:rPr>
        <w:t xml:space="preserve">姓名      </w:t>
      </w:r>
      <w:r>
        <w:rPr>
          <w:spacing w:val="1"/>
          <w:sz w:val="24"/>
          <w:szCs w:val="24"/>
          <w:u w:val="single" w:color="auto"/>
        </w:rPr>
        <w:t xml:space="preserve">                       </w:t>
      </w:r>
      <w:r>
        <w:rPr>
          <w:spacing w:val="-2"/>
          <w:sz w:val="24"/>
          <w:szCs w:val="24"/>
        </w:rPr>
        <w:t xml:space="preserve"> 教育层次 </w:t>
      </w:r>
      <w:r>
        <w:rPr>
          <w:spacing w:val="-2"/>
          <w:sz w:val="24"/>
          <w:szCs w:val="24"/>
          <w:u w:val="single" w:color="auto"/>
        </w:rPr>
        <w:t xml:space="preserve">                     </w:t>
      </w:r>
      <w:r>
        <w:rPr>
          <w:spacing w:val="-3"/>
          <w:sz w:val="24"/>
          <w:szCs w:val="24"/>
          <w:u w:val="single" w:color="auto"/>
        </w:rPr>
        <w:t xml:space="preserve">   </w:t>
      </w:r>
    </w:p>
    <w:p w14:paraId="7EDDCCFF">
      <w:pPr>
        <w:spacing w:line="280" w:lineRule="auto"/>
        <w:rPr>
          <w:rFonts w:ascii="Arial"/>
          <w:sz w:val="21"/>
        </w:rPr>
      </w:pPr>
    </w:p>
    <w:p w14:paraId="6E5FCC63">
      <w:pPr>
        <w:spacing w:line="280" w:lineRule="auto"/>
        <w:rPr>
          <w:rFonts w:ascii="Arial"/>
          <w:sz w:val="21"/>
        </w:rPr>
      </w:pPr>
    </w:p>
    <w:p w14:paraId="0117CD14">
      <w:pPr>
        <w:spacing w:line="281" w:lineRule="auto"/>
        <w:rPr>
          <w:rFonts w:ascii="Arial"/>
          <w:sz w:val="21"/>
        </w:rPr>
      </w:pPr>
    </w:p>
    <w:p w14:paraId="66CACED3">
      <w:pPr>
        <w:pStyle w:val="2"/>
        <w:spacing w:before="78" w:line="219" w:lineRule="auto"/>
        <w:ind w:left="244"/>
        <w:rPr>
          <w:sz w:val="24"/>
          <w:szCs w:val="24"/>
        </w:rPr>
      </w:pPr>
      <w:r>
        <w:rPr>
          <w:spacing w:val="-8"/>
          <w:sz w:val="24"/>
          <w:szCs w:val="24"/>
        </w:rPr>
        <w:t>学号</w:t>
      </w:r>
      <w:r>
        <w:rPr>
          <w:spacing w:val="22"/>
          <w:sz w:val="24"/>
          <w:szCs w:val="24"/>
        </w:rPr>
        <w:t xml:space="preserve">     </w:t>
      </w:r>
      <w:r>
        <w:rPr>
          <w:spacing w:val="1"/>
          <w:sz w:val="24"/>
          <w:szCs w:val="24"/>
          <w:u w:val="single" w:color="auto"/>
        </w:rPr>
        <w:t xml:space="preserve">                       </w:t>
      </w:r>
      <w:r>
        <w:rPr>
          <w:spacing w:val="-8"/>
          <w:sz w:val="24"/>
          <w:szCs w:val="24"/>
        </w:rPr>
        <w:t xml:space="preserve"> 分</w:t>
      </w:r>
      <w:r>
        <w:rPr>
          <w:spacing w:val="7"/>
          <w:sz w:val="24"/>
          <w:szCs w:val="24"/>
        </w:rPr>
        <w:t xml:space="preserve">    </w:t>
      </w:r>
      <w:r>
        <w:rPr>
          <w:spacing w:val="-8"/>
          <w:sz w:val="24"/>
          <w:szCs w:val="24"/>
        </w:rPr>
        <w:t>部</w:t>
      </w:r>
      <w:r>
        <w:rPr>
          <w:spacing w:val="15"/>
          <w:sz w:val="24"/>
          <w:szCs w:val="24"/>
        </w:rPr>
        <w:t xml:space="preserve"> </w:t>
      </w:r>
      <w:r>
        <w:rPr>
          <w:sz w:val="24"/>
          <w:szCs w:val="24"/>
          <w:u w:val="single" w:color="auto"/>
        </w:rPr>
        <w:t xml:space="preserve">                        </w:t>
      </w:r>
    </w:p>
    <w:p w14:paraId="525E24B3">
      <w:pPr>
        <w:spacing w:line="265" w:lineRule="auto"/>
        <w:rPr>
          <w:rFonts w:ascii="Arial"/>
          <w:sz w:val="21"/>
        </w:rPr>
      </w:pPr>
    </w:p>
    <w:p w14:paraId="11377C8B">
      <w:pPr>
        <w:spacing w:line="266" w:lineRule="auto"/>
        <w:rPr>
          <w:rFonts w:ascii="Arial"/>
          <w:sz w:val="21"/>
        </w:rPr>
      </w:pPr>
    </w:p>
    <w:p w14:paraId="2D041EFA">
      <w:pPr>
        <w:pStyle w:val="2"/>
        <w:spacing w:before="79" w:line="220" w:lineRule="auto"/>
        <w:ind w:left="4583"/>
        <w:rPr>
          <w:sz w:val="24"/>
          <w:szCs w:val="24"/>
        </w:rPr>
      </w:pPr>
      <w:r>
        <w:rPr>
          <w:spacing w:val="-4"/>
          <w:sz w:val="24"/>
          <w:szCs w:val="24"/>
        </w:rPr>
        <w:t>学院</w:t>
      </w:r>
    </w:p>
    <w:p w14:paraId="3A82F710">
      <w:pPr>
        <w:pStyle w:val="2"/>
        <w:spacing w:before="26" w:line="220" w:lineRule="auto"/>
        <w:ind w:left="240"/>
        <w:rPr>
          <w:sz w:val="24"/>
          <w:szCs w:val="24"/>
        </w:rPr>
      </w:pPr>
      <w:r>
        <w:rPr>
          <w:spacing w:val="-2"/>
          <w:sz w:val="24"/>
          <w:szCs w:val="24"/>
        </w:rPr>
        <w:t>专业</w:t>
      </w:r>
      <w:r>
        <w:rPr>
          <w:spacing w:val="22"/>
          <w:sz w:val="24"/>
          <w:szCs w:val="24"/>
        </w:rPr>
        <w:t xml:space="preserve">     </w:t>
      </w:r>
      <w:r>
        <w:rPr>
          <w:spacing w:val="1"/>
          <w:sz w:val="24"/>
          <w:szCs w:val="24"/>
          <w:u w:val="single" w:color="auto"/>
        </w:rPr>
        <w:t xml:space="preserve">                       </w:t>
      </w:r>
      <w:r>
        <w:rPr>
          <w:spacing w:val="-2"/>
          <w:sz w:val="24"/>
          <w:szCs w:val="24"/>
        </w:rPr>
        <w:t xml:space="preserve"> （分校） </w:t>
      </w:r>
      <w:r>
        <w:rPr>
          <w:spacing w:val="-2"/>
          <w:sz w:val="24"/>
          <w:szCs w:val="24"/>
          <w:u w:val="single" w:color="auto"/>
        </w:rPr>
        <w:t xml:space="preserve">                </w:t>
      </w:r>
      <w:r>
        <w:rPr>
          <w:spacing w:val="-3"/>
          <w:sz w:val="24"/>
          <w:szCs w:val="24"/>
          <w:u w:val="single" w:color="auto"/>
        </w:rPr>
        <w:t xml:space="preserve">        </w:t>
      </w:r>
    </w:p>
    <w:p w14:paraId="09CAC5D6">
      <w:pPr>
        <w:spacing w:line="281" w:lineRule="auto"/>
        <w:rPr>
          <w:rFonts w:ascii="Arial"/>
          <w:sz w:val="21"/>
        </w:rPr>
      </w:pPr>
    </w:p>
    <w:p w14:paraId="6614E49A">
      <w:pPr>
        <w:spacing w:line="281" w:lineRule="auto"/>
        <w:rPr>
          <w:rFonts w:ascii="Arial"/>
          <w:sz w:val="21"/>
        </w:rPr>
      </w:pPr>
    </w:p>
    <w:p w14:paraId="77BEE417">
      <w:pPr>
        <w:spacing w:line="281" w:lineRule="auto"/>
        <w:rPr>
          <w:rFonts w:ascii="Arial"/>
          <w:sz w:val="21"/>
        </w:rPr>
      </w:pPr>
    </w:p>
    <w:p w14:paraId="6509CB2F">
      <w:pPr>
        <w:pStyle w:val="2"/>
        <w:spacing w:before="78" w:line="219" w:lineRule="auto"/>
        <w:ind w:left="242"/>
        <w:rPr>
          <w:sz w:val="24"/>
          <w:szCs w:val="24"/>
        </w:rPr>
      </w:pPr>
      <w:r>
        <w:rPr>
          <w:spacing w:val="-2"/>
          <w:sz w:val="24"/>
          <w:szCs w:val="24"/>
        </w:rPr>
        <w:t>指导教师</w:t>
      </w:r>
      <w:r>
        <w:rPr>
          <w:spacing w:val="112"/>
          <w:sz w:val="24"/>
          <w:szCs w:val="24"/>
        </w:rPr>
        <w:t xml:space="preserve"> </w:t>
      </w:r>
      <w:r>
        <w:rPr>
          <w:spacing w:val="1"/>
          <w:sz w:val="24"/>
          <w:szCs w:val="24"/>
          <w:u w:val="single" w:color="auto"/>
        </w:rPr>
        <w:t xml:space="preserve">                       </w:t>
      </w:r>
      <w:r>
        <w:rPr>
          <w:spacing w:val="-2"/>
          <w:sz w:val="24"/>
          <w:szCs w:val="24"/>
        </w:rPr>
        <w:t xml:space="preserve"> 学习中心 </w:t>
      </w:r>
      <w:r>
        <w:rPr>
          <w:spacing w:val="-2"/>
          <w:sz w:val="24"/>
          <w:szCs w:val="24"/>
          <w:u w:val="single" w:color="auto"/>
        </w:rPr>
        <w:t xml:space="preserve">                  </w:t>
      </w:r>
      <w:r>
        <w:rPr>
          <w:spacing w:val="-3"/>
          <w:sz w:val="24"/>
          <w:szCs w:val="24"/>
          <w:u w:val="single" w:color="auto"/>
        </w:rPr>
        <w:t xml:space="preserve">      </w:t>
      </w:r>
    </w:p>
    <w:p w14:paraId="6D685B07">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sectPr>
          <w:footerReference r:id="rId17" w:type="default"/>
          <w:pgSz w:w="11906" w:h="16838"/>
          <w:pgMar w:top="1431" w:right="1785" w:bottom="823" w:left="1600" w:header="0" w:footer="511" w:gutter="0"/>
          <w:cols w:space="720" w:num="1"/>
        </w:sectPr>
      </w:pPr>
    </w:p>
    <w:p w14:paraId="5514C9CA">
      <w:pPr>
        <w:pStyle w:val="2"/>
        <w:numPr>
          <w:ilvl w:val="0"/>
          <w:numId w:val="2"/>
        </w:numPr>
        <w:spacing w:before="218" w:line="219" w:lineRule="auto"/>
        <w:rPr>
          <w:spacing w:val="-5"/>
          <w:sz w:val="24"/>
          <w:szCs w:val="24"/>
        </w:rPr>
      </w:pPr>
      <w:r>
        <w:rPr>
          <w:spacing w:val="-5"/>
          <w:sz w:val="24"/>
          <w:szCs w:val="24"/>
        </w:rPr>
        <w:t>论文简介</w:t>
      </w:r>
    </w:p>
    <w:p w14:paraId="4FB777F6">
      <w:pPr>
        <w:pStyle w:val="2"/>
        <w:numPr>
          <w:ilvl w:val="0"/>
          <w:numId w:val="0"/>
        </w:numPr>
        <w:spacing w:before="218" w:line="219" w:lineRule="auto"/>
        <w:rPr>
          <w:spacing w:val="-5"/>
          <w:sz w:val="24"/>
          <w:szCs w:val="24"/>
        </w:rPr>
      </w:pPr>
    </w:p>
    <w:p w14:paraId="1F0B47F9">
      <w:pPr>
        <w:spacing w:line="25" w:lineRule="exact"/>
      </w:pPr>
    </w:p>
    <w:tbl>
      <w:tblPr>
        <w:tblStyle w:val="6"/>
        <w:tblW w:w="8901"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901"/>
      </w:tblGrid>
      <w:tr w14:paraId="5224A103">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90" w:hRule="atLeast"/>
        </w:trPr>
        <w:tc>
          <w:tcPr>
            <w:tcW w:w="8901" w:type="dxa"/>
            <w:vAlign w:val="top"/>
          </w:tcPr>
          <w:p w14:paraId="09C9F58B">
            <w:pPr>
              <w:spacing w:before="42" w:line="219" w:lineRule="auto"/>
              <w:ind w:left="117"/>
              <w:rPr>
                <w:rFonts w:ascii="宋体" w:hAnsi="宋体" w:eastAsia="宋体" w:cs="宋体"/>
                <w:sz w:val="24"/>
                <w:szCs w:val="24"/>
              </w:rPr>
            </w:pPr>
            <w:r>
              <w:rPr>
                <w:rFonts w:ascii="宋体" w:hAnsi="宋体" w:eastAsia="宋体" w:cs="宋体"/>
                <w:spacing w:val="-4"/>
                <w:sz w:val="24"/>
                <w:szCs w:val="24"/>
              </w:rPr>
              <w:t>介绍论文写作的过程、主要内容和创新点：</w:t>
            </w:r>
          </w:p>
          <w:p w14:paraId="2110D5E7">
            <w:pPr>
              <w:pStyle w:val="7"/>
            </w:pPr>
          </w:p>
          <w:p w14:paraId="6CFFF94E">
            <w:pPr>
              <w:pStyle w:val="7"/>
            </w:pPr>
          </w:p>
          <w:p w14:paraId="46D65B28">
            <w:pPr>
              <w:pStyle w:val="7"/>
            </w:pPr>
          </w:p>
          <w:p w14:paraId="25C63C08">
            <w:pPr>
              <w:pStyle w:val="7"/>
            </w:pPr>
          </w:p>
          <w:p w14:paraId="4ABE954F">
            <w:pPr>
              <w:pStyle w:val="7"/>
            </w:pPr>
          </w:p>
          <w:p w14:paraId="710A33BC">
            <w:pPr>
              <w:pStyle w:val="7"/>
            </w:pPr>
          </w:p>
          <w:p w14:paraId="6685B6E5">
            <w:pPr>
              <w:pStyle w:val="7"/>
            </w:pPr>
          </w:p>
          <w:p w14:paraId="73B48FC3">
            <w:pPr>
              <w:pStyle w:val="7"/>
            </w:pPr>
          </w:p>
          <w:p w14:paraId="0EC21DA8">
            <w:pPr>
              <w:pStyle w:val="7"/>
            </w:pPr>
          </w:p>
          <w:p w14:paraId="7199EF58">
            <w:pPr>
              <w:pStyle w:val="7"/>
            </w:pPr>
          </w:p>
          <w:p w14:paraId="247C980F">
            <w:pPr>
              <w:pStyle w:val="7"/>
            </w:pPr>
          </w:p>
          <w:p w14:paraId="256035CD">
            <w:pPr>
              <w:pStyle w:val="7"/>
            </w:pPr>
          </w:p>
          <w:p w14:paraId="376124BE">
            <w:pPr>
              <w:pStyle w:val="7"/>
            </w:pPr>
          </w:p>
          <w:p w14:paraId="2A535DBE">
            <w:pPr>
              <w:pStyle w:val="7"/>
            </w:pPr>
          </w:p>
          <w:p w14:paraId="58A257C3">
            <w:pPr>
              <w:pStyle w:val="7"/>
            </w:pPr>
          </w:p>
          <w:p w14:paraId="41184CFF">
            <w:pPr>
              <w:pStyle w:val="7"/>
            </w:pPr>
          </w:p>
          <w:p w14:paraId="064686D6">
            <w:pPr>
              <w:pStyle w:val="7"/>
            </w:pPr>
          </w:p>
          <w:p w14:paraId="1134BDEF">
            <w:pPr>
              <w:pStyle w:val="7"/>
            </w:pPr>
          </w:p>
          <w:p w14:paraId="1DABEE5F">
            <w:pPr>
              <w:pStyle w:val="7"/>
            </w:pPr>
          </w:p>
          <w:p w14:paraId="1DCA704B">
            <w:pPr>
              <w:pStyle w:val="7"/>
            </w:pPr>
          </w:p>
          <w:p w14:paraId="0280B2D9">
            <w:pPr>
              <w:pStyle w:val="7"/>
            </w:pPr>
          </w:p>
          <w:p w14:paraId="7C0A8736">
            <w:pPr>
              <w:pStyle w:val="7"/>
            </w:pPr>
          </w:p>
          <w:p w14:paraId="72C03323">
            <w:pPr>
              <w:pStyle w:val="7"/>
            </w:pPr>
          </w:p>
          <w:p w14:paraId="7EE21C6D">
            <w:pPr>
              <w:pStyle w:val="7"/>
            </w:pPr>
          </w:p>
          <w:p w14:paraId="5E38F467">
            <w:pPr>
              <w:pStyle w:val="7"/>
            </w:pPr>
          </w:p>
          <w:p w14:paraId="253AEF6E">
            <w:pPr>
              <w:pStyle w:val="7"/>
            </w:pPr>
          </w:p>
          <w:p w14:paraId="7DFDCEA7">
            <w:pPr>
              <w:pStyle w:val="7"/>
            </w:pPr>
          </w:p>
          <w:p w14:paraId="149F9F7E">
            <w:pPr>
              <w:pStyle w:val="7"/>
            </w:pPr>
          </w:p>
          <w:p w14:paraId="318B1D9B">
            <w:pPr>
              <w:pStyle w:val="7"/>
            </w:pPr>
          </w:p>
          <w:p w14:paraId="4A547D36">
            <w:pPr>
              <w:pStyle w:val="7"/>
            </w:pPr>
          </w:p>
          <w:p w14:paraId="1477F8D8">
            <w:pPr>
              <w:pStyle w:val="7"/>
            </w:pPr>
          </w:p>
          <w:p w14:paraId="4A57EB7F">
            <w:pPr>
              <w:pStyle w:val="7"/>
            </w:pPr>
          </w:p>
          <w:p w14:paraId="6475A148">
            <w:pPr>
              <w:pStyle w:val="7"/>
            </w:pPr>
          </w:p>
          <w:p w14:paraId="2AB7FF1D">
            <w:pPr>
              <w:pStyle w:val="7"/>
            </w:pPr>
          </w:p>
          <w:p w14:paraId="3E707F61">
            <w:pPr>
              <w:pStyle w:val="7"/>
            </w:pPr>
          </w:p>
          <w:p w14:paraId="6DF668ED">
            <w:pPr>
              <w:pStyle w:val="7"/>
            </w:pPr>
          </w:p>
          <w:p w14:paraId="2A803DF9">
            <w:pPr>
              <w:pStyle w:val="7"/>
            </w:pPr>
          </w:p>
          <w:p w14:paraId="2C19F18D">
            <w:pPr>
              <w:pStyle w:val="7"/>
            </w:pPr>
            <w:bookmarkStart w:id="0" w:name="_GoBack"/>
            <w:bookmarkEnd w:id="0"/>
          </w:p>
          <w:p w14:paraId="633E280B">
            <w:pPr>
              <w:pStyle w:val="7"/>
            </w:pPr>
          </w:p>
          <w:p w14:paraId="050C206E">
            <w:pPr>
              <w:pStyle w:val="7"/>
            </w:pPr>
          </w:p>
          <w:p w14:paraId="6FEE9DD4">
            <w:pPr>
              <w:pStyle w:val="7"/>
            </w:pPr>
          </w:p>
          <w:p w14:paraId="3AA17D48">
            <w:pPr>
              <w:pStyle w:val="7"/>
            </w:pPr>
          </w:p>
          <w:p w14:paraId="09A73D2B">
            <w:pPr>
              <w:pStyle w:val="7"/>
              <w:spacing w:line="241" w:lineRule="auto"/>
            </w:pPr>
          </w:p>
          <w:p w14:paraId="43814A3D">
            <w:pPr>
              <w:pStyle w:val="7"/>
              <w:spacing w:line="241" w:lineRule="auto"/>
            </w:pPr>
          </w:p>
          <w:p w14:paraId="647E2A25">
            <w:pPr>
              <w:pStyle w:val="7"/>
              <w:spacing w:line="241" w:lineRule="auto"/>
            </w:pPr>
          </w:p>
          <w:p w14:paraId="69F98BE2">
            <w:pPr>
              <w:pStyle w:val="7"/>
              <w:spacing w:line="241" w:lineRule="auto"/>
            </w:pPr>
          </w:p>
          <w:p w14:paraId="233AD645">
            <w:pPr>
              <w:spacing w:before="78" w:line="221" w:lineRule="auto"/>
              <w:ind w:left="5267"/>
              <w:rPr>
                <w:rFonts w:ascii="宋体" w:hAnsi="宋体" w:eastAsia="宋体" w:cs="宋体"/>
                <w:sz w:val="24"/>
                <w:szCs w:val="24"/>
              </w:rPr>
            </w:pPr>
            <w:r>
              <w:rPr>
                <w:rFonts w:ascii="宋体" w:hAnsi="宋体" w:eastAsia="宋体" w:cs="宋体"/>
                <w:spacing w:val="-26"/>
                <w:sz w:val="24"/>
                <w:szCs w:val="24"/>
              </w:rPr>
              <w:t>学生（签名</w:t>
            </w:r>
            <w:r>
              <w:rPr>
                <w:rFonts w:ascii="宋体" w:hAnsi="宋体" w:eastAsia="宋体" w:cs="宋体"/>
                <w:spacing w:val="-11"/>
                <w:sz w:val="24"/>
                <w:szCs w:val="24"/>
              </w:rPr>
              <w:t>）：</w:t>
            </w:r>
          </w:p>
          <w:p w14:paraId="5597AF2B">
            <w:pPr>
              <w:spacing w:before="234" w:line="219" w:lineRule="auto"/>
              <w:ind w:left="6962"/>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8"/>
                <w:sz w:val="24"/>
                <w:szCs w:val="24"/>
              </w:rPr>
              <w:t xml:space="preserve">   </w:t>
            </w:r>
            <w:r>
              <w:rPr>
                <w:rFonts w:ascii="宋体" w:hAnsi="宋体" w:eastAsia="宋体" w:cs="宋体"/>
                <w:spacing w:val="-9"/>
                <w:sz w:val="24"/>
                <w:szCs w:val="24"/>
              </w:rPr>
              <w:t>日</w:t>
            </w:r>
          </w:p>
          <w:p w14:paraId="56E330C3">
            <w:pPr>
              <w:spacing w:before="259" w:line="227" w:lineRule="auto"/>
              <w:ind w:left="7206"/>
              <w:rPr>
                <w:rFonts w:ascii="宋体" w:hAnsi="宋体" w:eastAsia="宋体" w:cs="宋体"/>
                <w:sz w:val="20"/>
                <w:szCs w:val="20"/>
              </w:rPr>
            </w:pPr>
            <w:r>
              <w:rPr>
                <w:rFonts w:ascii="宋体" w:hAnsi="宋体" w:eastAsia="宋体" w:cs="宋体"/>
                <w:spacing w:val="5"/>
                <w:sz w:val="20"/>
                <w:szCs w:val="20"/>
              </w:rPr>
              <w:t>（可另附页）</w:t>
            </w:r>
          </w:p>
        </w:tc>
      </w:tr>
    </w:tbl>
    <w:p w14:paraId="2D0E505C">
      <w:pPr>
        <w:pStyle w:val="2"/>
        <w:numPr>
          <w:ilvl w:val="0"/>
          <w:numId w:val="0"/>
        </w:numPr>
        <w:spacing w:before="218" w:line="220" w:lineRule="auto"/>
        <w:rPr>
          <w:spacing w:val="-2"/>
          <w:sz w:val="24"/>
          <w:szCs w:val="24"/>
        </w:rPr>
      </w:pPr>
      <w:r>
        <w:rPr>
          <w:rFonts w:hint="eastAsia"/>
          <w:spacing w:val="-2"/>
          <w:sz w:val="24"/>
          <w:szCs w:val="24"/>
          <w:lang w:val="en-US" w:eastAsia="zh-CN"/>
        </w:rPr>
        <w:t>二、</w:t>
      </w:r>
      <w:r>
        <w:rPr>
          <w:spacing w:val="-2"/>
          <w:sz w:val="24"/>
          <w:szCs w:val="24"/>
        </w:rPr>
        <w:t>论文指导过程</w:t>
      </w:r>
    </w:p>
    <w:p w14:paraId="447E9051">
      <w:pPr>
        <w:pStyle w:val="2"/>
        <w:numPr>
          <w:ilvl w:val="0"/>
          <w:numId w:val="0"/>
        </w:numPr>
        <w:spacing w:before="218" w:line="220" w:lineRule="auto"/>
        <w:rPr>
          <w:spacing w:val="-2"/>
          <w:sz w:val="24"/>
          <w:szCs w:val="24"/>
        </w:rPr>
      </w:pPr>
    </w:p>
    <w:p w14:paraId="331678C1">
      <w:pPr>
        <w:spacing w:line="23" w:lineRule="exact"/>
      </w:pPr>
    </w:p>
    <w:tbl>
      <w:tblPr>
        <w:tblStyle w:val="6"/>
        <w:tblW w:w="910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8536"/>
      </w:tblGrid>
      <w:tr w14:paraId="5335C3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0" w:hRule="atLeast"/>
        </w:trPr>
        <w:tc>
          <w:tcPr>
            <w:tcW w:w="572" w:type="dxa"/>
            <w:textDirection w:val="tbRlV"/>
            <w:vAlign w:val="top"/>
          </w:tcPr>
          <w:p w14:paraId="43214C31">
            <w:pPr>
              <w:spacing w:before="163" w:line="210" w:lineRule="auto"/>
              <w:ind w:left="2080"/>
              <w:rPr>
                <w:rFonts w:ascii="宋体" w:hAnsi="宋体" w:eastAsia="宋体" w:cs="宋体"/>
                <w:sz w:val="24"/>
                <w:szCs w:val="24"/>
              </w:rPr>
            </w:pPr>
            <w:r>
              <w:rPr>
                <w:rFonts w:ascii="宋体" w:hAnsi="宋体" w:eastAsia="宋体" w:cs="宋体"/>
                <w:spacing w:val="-1"/>
                <w:sz w:val="24"/>
                <w:szCs w:val="24"/>
              </w:rPr>
              <w:t>选 题 指 导</w:t>
            </w:r>
          </w:p>
        </w:tc>
        <w:tc>
          <w:tcPr>
            <w:tcW w:w="8536" w:type="dxa"/>
            <w:vAlign w:val="top"/>
          </w:tcPr>
          <w:p w14:paraId="69E59A0A">
            <w:pPr>
              <w:spacing w:before="87" w:line="221" w:lineRule="auto"/>
              <w:ind w:left="115"/>
              <w:rPr>
                <w:rFonts w:ascii="宋体" w:hAnsi="宋体" w:eastAsia="宋体" w:cs="宋体"/>
                <w:sz w:val="24"/>
                <w:szCs w:val="24"/>
              </w:rPr>
            </w:pPr>
            <w:r>
              <w:rPr>
                <w:rFonts w:ascii="宋体" w:hAnsi="宋体" w:eastAsia="宋体" w:cs="宋体"/>
                <w:spacing w:val="-12"/>
                <w:sz w:val="24"/>
                <w:szCs w:val="24"/>
              </w:rPr>
              <w:t>指导时间：</w:t>
            </w:r>
          </w:p>
          <w:p w14:paraId="043E22D3">
            <w:pPr>
              <w:pStyle w:val="7"/>
              <w:spacing w:line="353" w:lineRule="auto"/>
            </w:pPr>
          </w:p>
          <w:p w14:paraId="3C158585">
            <w:pPr>
              <w:spacing w:before="78" w:line="219" w:lineRule="auto"/>
              <w:ind w:left="115"/>
              <w:rPr>
                <w:rFonts w:ascii="宋体" w:hAnsi="宋体" w:eastAsia="宋体" w:cs="宋体"/>
                <w:sz w:val="24"/>
                <w:szCs w:val="24"/>
              </w:rPr>
            </w:pPr>
            <w:r>
              <w:rPr>
                <w:rFonts w:ascii="宋体" w:hAnsi="宋体" w:eastAsia="宋体" w:cs="宋体"/>
                <w:spacing w:val="-12"/>
                <w:sz w:val="24"/>
                <w:szCs w:val="24"/>
              </w:rPr>
              <w:t>指导内容：</w:t>
            </w:r>
          </w:p>
        </w:tc>
      </w:tr>
      <w:tr w14:paraId="549D12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79" w:hRule="atLeast"/>
        </w:trPr>
        <w:tc>
          <w:tcPr>
            <w:tcW w:w="572" w:type="dxa"/>
            <w:textDirection w:val="tbRlV"/>
            <w:vAlign w:val="top"/>
          </w:tcPr>
          <w:p w14:paraId="0BF7BA60">
            <w:pPr>
              <w:spacing w:before="163" w:line="209" w:lineRule="auto"/>
              <w:ind w:left="1058"/>
              <w:rPr>
                <w:rFonts w:ascii="宋体" w:hAnsi="宋体" w:eastAsia="宋体" w:cs="宋体"/>
                <w:sz w:val="24"/>
                <w:szCs w:val="24"/>
              </w:rPr>
            </w:pPr>
            <w:r>
              <w:rPr>
                <w:rFonts w:ascii="宋体" w:hAnsi="宋体" w:eastAsia="宋体" w:cs="宋体"/>
                <w:sz w:val="24"/>
                <w:szCs w:val="24"/>
              </w:rPr>
              <w:t>开 题 指 导</w:t>
            </w:r>
          </w:p>
        </w:tc>
        <w:tc>
          <w:tcPr>
            <w:tcW w:w="8536" w:type="dxa"/>
            <w:vAlign w:val="top"/>
          </w:tcPr>
          <w:p w14:paraId="3A588773">
            <w:pPr>
              <w:spacing w:before="83" w:line="221" w:lineRule="auto"/>
              <w:ind w:left="115"/>
              <w:rPr>
                <w:rFonts w:ascii="宋体" w:hAnsi="宋体" w:eastAsia="宋体" w:cs="宋体"/>
                <w:sz w:val="24"/>
                <w:szCs w:val="24"/>
              </w:rPr>
            </w:pPr>
            <w:r>
              <w:rPr>
                <w:rFonts w:ascii="宋体" w:hAnsi="宋体" w:eastAsia="宋体" w:cs="宋体"/>
                <w:spacing w:val="-12"/>
                <w:sz w:val="24"/>
                <w:szCs w:val="24"/>
              </w:rPr>
              <w:t>指导时间：</w:t>
            </w:r>
          </w:p>
          <w:p w14:paraId="66ABA2A0">
            <w:pPr>
              <w:pStyle w:val="7"/>
              <w:spacing w:line="353" w:lineRule="auto"/>
            </w:pPr>
          </w:p>
          <w:p w14:paraId="48B60CF4">
            <w:pPr>
              <w:spacing w:before="78" w:line="219" w:lineRule="auto"/>
              <w:ind w:left="115"/>
              <w:rPr>
                <w:rFonts w:ascii="宋体" w:hAnsi="宋体" w:eastAsia="宋体" w:cs="宋体"/>
                <w:sz w:val="24"/>
                <w:szCs w:val="24"/>
              </w:rPr>
            </w:pPr>
            <w:r>
              <w:rPr>
                <w:rFonts w:ascii="宋体" w:hAnsi="宋体" w:eastAsia="宋体" w:cs="宋体"/>
                <w:spacing w:val="-12"/>
                <w:sz w:val="24"/>
                <w:szCs w:val="24"/>
              </w:rPr>
              <w:t>指导内容：</w:t>
            </w:r>
          </w:p>
        </w:tc>
      </w:tr>
      <w:tr w14:paraId="1F9784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5" w:hRule="atLeast"/>
        </w:trPr>
        <w:tc>
          <w:tcPr>
            <w:tcW w:w="572" w:type="dxa"/>
            <w:textDirection w:val="tbRlV"/>
            <w:vAlign w:val="top"/>
          </w:tcPr>
          <w:p w14:paraId="2467AE2D">
            <w:pPr>
              <w:spacing w:before="162" w:line="209" w:lineRule="auto"/>
              <w:ind w:left="1346"/>
              <w:rPr>
                <w:rFonts w:ascii="宋体" w:hAnsi="宋体" w:eastAsia="宋体" w:cs="宋体"/>
                <w:sz w:val="24"/>
                <w:szCs w:val="24"/>
              </w:rPr>
            </w:pPr>
            <w:r>
              <w:rPr>
                <w:rFonts w:ascii="宋体" w:hAnsi="宋体" w:eastAsia="宋体" w:cs="宋体"/>
                <w:sz w:val="24"/>
                <w:szCs w:val="24"/>
              </w:rPr>
              <w:t>初 稿 指 导</w:t>
            </w:r>
          </w:p>
        </w:tc>
        <w:tc>
          <w:tcPr>
            <w:tcW w:w="8536" w:type="dxa"/>
            <w:vAlign w:val="top"/>
          </w:tcPr>
          <w:p w14:paraId="2E02EC37">
            <w:pPr>
              <w:spacing w:before="85" w:line="221" w:lineRule="auto"/>
              <w:ind w:left="115"/>
              <w:rPr>
                <w:rFonts w:ascii="宋体" w:hAnsi="宋体" w:eastAsia="宋体" w:cs="宋体"/>
                <w:sz w:val="24"/>
                <w:szCs w:val="24"/>
              </w:rPr>
            </w:pPr>
            <w:r>
              <w:rPr>
                <w:rFonts w:ascii="宋体" w:hAnsi="宋体" w:eastAsia="宋体" w:cs="宋体"/>
                <w:spacing w:val="-12"/>
                <w:sz w:val="24"/>
                <w:szCs w:val="24"/>
              </w:rPr>
              <w:t>指导时间：</w:t>
            </w:r>
          </w:p>
          <w:p w14:paraId="327719DC">
            <w:pPr>
              <w:pStyle w:val="7"/>
              <w:spacing w:line="353" w:lineRule="auto"/>
            </w:pPr>
          </w:p>
          <w:p w14:paraId="1186485F">
            <w:pPr>
              <w:spacing w:before="78" w:line="219" w:lineRule="auto"/>
              <w:ind w:left="115"/>
              <w:rPr>
                <w:rFonts w:ascii="宋体" w:hAnsi="宋体" w:eastAsia="宋体" w:cs="宋体"/>
                <w:sz w:val="24"/>
                <w:szCs w:val="24"/>
              </w:rPr>
            </w:pPr>
            <w:r>
              <w:rPr>
                <w:rFonts w:ascii="宋体" w:hAnsi="宋体" w:eastAsia="宋体" w:cs="宋体"/>
                <w:spacing w:val="-12"/>
                <w:sz w:val="24"/>
                <w:szCs w:val="24"/>
              </w:rPr>
              <w:t>指导内容：</w:t>
            </w:r>
          </w:p>
        </w:tc>
      </w:tr>
    </w:tbl>
    <w:p w14:paraId="1AA752D4">
      <w:pPr>
        <w:spacing w:line="313" w:lineRule="auto"/>
      </w:pPr>
    </w:p>
    <w:p w14:paraId="1DFF291F">
      <w:pPr>
        <w:spacing w:line="313" w:lineRule="auto"/>
      </w:pPr>
    </w:p>
    <w:p w14:paraId="6337784D">
      <w:pPr>
        <w:spacing w:line="90" w:lineRule="auto"/>
        <w:rPr>
          <w:rFonts w:ascii="Arial"/>
          <w:sz w:val="2"/>
        </w:rPr>
      </w:pPr>
    </w:p>
    <w:tbl>
      <w:tblPr>
        <w:tblStyle w:val="6"/>
        <w:tblW w:w="910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8536"/>
      </w:tblGrid>
      <w:tr w14:paraId="7941DD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3" w:hRule="atLeast"/>
        </w:trPr>
        <w:tc>
          <w:tcPr>
            <w:tcW w:w="572" w:type="dxa"/>
            <w:textDirection w:val="tbRlV"/>
            <w:vAlign w:val="top"/>
          </w:tcPr>
          <w:p w14:paraId="79F39F16">
            <w:pPr>
              <w:spacing w:before="162" w:line="209" w:lineRule="auto"/>
              <w:ind w:left="1347"/>
              <w:rPr>
                <w:rFonts w:ascii="宋体" w:hAnsi="宋体" w:eastAsia="宋体" w:cs="宋体"/>
                <w:sz w:val="24"/>
                <w:szCs w:val="24"/>
              </w:rPr>
            </w:pPr>
            <w:r>
              <w:rPr>
                <w:rFonts w:ascii="宋体" w:hAnsi="宋体" w:eastAsia="宋体" w:cs="宋体"/>
                <w:sz w:val="24"/>
                <w:szCs w:val="24"/>
              </w:rPr>
              <w:t>修 改 稿 指 导</w:t>
            </w:r>
          </w:p>
        </w:tc>
        <w:tc>
          <w:tcPr>
            <w:tcW w:w="8536" w:type="dxa"/>
            <w:vAlign w:val="top"/>
          </w:tcPr>
          <w:p w14:paraId="3BBB552E">
            <w:pPr>
              <w:spacing w:before="87" w:line="221" w:lineRule="auto"/>
              <w:ind w:left="115"/>
              <w:rPr>
                <w:rFonts w:ascii="宋体" w:hAnsi="宋体" w:eastAsia="宋体" w:cs="宋体"/>
                <w:sz w:val="24"/>
                <w:szCs w:val="24"/>
              </w:rPr>
            </w:pPr>
            <w:r>
              <w:rPr>
                <w:rFonts w:ascii="宋体" w:hAnsi="宋体" w:eastAsia="宋体" w:cs="宋体"/>
                <w:spacing w:val="-12"/>
                <w:sz w:val="24"/>
                <w:szCs w:val="24"/>
              </w:rPr>
              <w:t>指导时间：</w:t>
            </w:r>
          </w:p>
          <w:p w14:paraId="40D01AD9">
            <w:pPr>
              <w:pStyle w:val="7"/>
              <w:spacing w:line="285" w:lineRule="auto"/>
            </w:pPr>
          </w:p>
          <w:p w14:paraId="72BFFD3A">
            <w:pPr>
              <w:pStyle w:val="7"/>
              <w:spacing w:line="285" w:lineRule="auto"/>
            </w:pPr>
          </w:p>
          <w:p w14:paraId="3F0736F9">
            <w:pPr>
              <w:pStyle w:val="7"/>
              <w:spacing w:line="285" w:lineRule="auto"/>
            </w:pPr>
          </w:p>
          <w:p w14:paraId="3171EC74">
            <w:pPr>
              <w:pStyle w:val="7"/>
              <w:spacing w:line="285" w:lineRule="auto"/>
            </w:pPr>
          </w:p>
          <w:p w14:paraId="5A569F04">
            <w:pPr>
              <w:pStyle w:val="7"/>
              <w:spacing w:line="286" w:lineRule="auto"/>
            </w:pPr>
          </w:p>
          <w:p w14:paraId="702981B6">
            <w:pPr>
              <w:spacing w:before="78" w:line="219" w:lineRule="auto"/>
              <w:ind w:left="115"/>
              <w:rPr>
                <w:rFonts w:ascii="宋体" w:hAnsi="宋体" w:eastAsia="宋体" w:cs="宋体"/>
                <w:sz w:val="24"/>
                <w:szCs w:val="24"/>
              </w:rPr>
            </w:pPr>
            <w:r>
              <w:rPr>
                <w:rFonts w:ascii="宋体" w:hAnsi="宋体" w:eastAsia="宋体" w:cs="宋体"/>
                <w:spacing w:val="-12"/>
                <w:sz w:val="24"/>
                <w:szCs w:val="24"/>
              </w:rPr>
              <w:t>指导内容：</w:t>
            </w:r>
          </w:p>
        </w:tc>
      </w:tr>
      <w:tr w14:paraId="574BE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8" w:hRule="atLeast"/>
        </w:trPr>
        <w:tc>
          <w:tcPr>
            <w:tcW w:w="572" w:type="dxa"/>
            <w:textDirection w:val="tbRlV"/>
            <w:vAlign w:val="top"/>
          </w:tcPr>
          <w:p w14:paraId="266E412F">
            <w:pPr>
              <w:spacing w:before="162" w:line="209" w:lineRule="auto"/>
              <w:ind w:left="1524"/>
              <w:rPr>
                <w:rFonts w:ascii="宋体" w:hAnsi="宋体" w:eastAsia="宋体" w:cs="宋体"/>
                <w:sz w:val="24"/>
                <w:szCs w:val="24"/>
              </w:rPr>
            </w:pPr>
            <w:r>
              <w:rPr>
                <w:rFonts w:ascii="宋体" w:hAnsi="宋体" w:eastAsia="宋体" w:cs="宋体"/>
                <w:sz w:val="24"/>
                <w:szCs w:val="24"/>
              </w:rPr>
              <w:t>终 稿 指 导</w:t>
            </w:r>
          </w:p>
        </w:tc>
        <w:tc>
          <w:tcPr>
            <w:tcW w:w="8536" w:type="dxa"/>
            <w:vAlign w:val="top"/>
          </w:tcPr>
          <w:p w14:paraId="1A148228">
            <w:pPr>
              <w:spacing w:before="83" w:line="221" w:lineRule="auto"/>
              <w:ind w:left="115"/>
              <w:rPr>
                <w:rFonts w:ascii="宋体" w:hAnsi="宋体" w:eastAsia="宋体" w:cs="宋体"/>
                <w:sz w:val="24"/>
                <w:szCs w:val="24"/>
              </w:rPr>
            </w:pPr>
            <w:r>
              <w:rPr>
                <w:rFonts w:ascii="宋体" w:hAnsi="宋体" w:eastAsia="宋体" w:cs="宋体"/>
                <w:spacing w:val="-12"/>
                <w:sz w:val="24"/>
                <w:szCs w:val="24"/>
              </w:rPr>
              <w:t>指导时间：</w:t>
            </w:r>
          </w:p>
          <w:p w14:paraId="225FB2FC">
            <w:pPr>
              <w:pStyle w:val="7"/>
              <w:spacing w:line="353" w:lineRule="auto"/>
            </w:pPr>
          </w:p>
          <w:p w14:paraId="3D09E3E8">
            <w:pPr>
              <w:spacing w:before="78" w:line="219" w:lineRule="auto"/>
              <w:ind w:left="115"/>
              <w:rPr>
                <w:rFonts w:ascii="宋体" w:hAnsi="宋体" w:eastAsia="宋体" w:cs="宋体"/>
                <w:sz w:val="24"/>
                <w:szCs w:val="24"/>
              </w:rPr>
            </w:pPr>
            <w:r>
              <w:rPr>
                <w:rFonts w:ascii="宋体" w:hAnsi="宋体" w:eastAsia="宋体" w:cs="宋体"/>
                <w:spacing w:val="-12"/>
                <w:sz w:val="24"/>
                <w:szCs w:val="24"/>
              </w:rPr>
              <w:t>指导内容：</w:t>
            </w:r>
          </w:p>
        </w:tc>
      </w:tr>
      <w:tr w14:paraId="488419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3" w:hRule="atLeast"/>
        </w:trPr>
        <w:tc>
          <w:tcPr>
            <w:tcW w:w="572" w:type="dxa"/>
            <w:vMerge w:val="restart"/>
            <w:tcBorders>
              <w:bottom w:val="nil"/>
            </w:tcBorders>
            <w:textDirection w:val="tbRlV"/>
            <w:vAlign w:val="top"/>
          </w:tcPr>
          <w:p w14:paraId="7C2AC698">
            <w:pPr>
              <w:spacing w:before="162" w:line="209" w:lineRule="auto"/>
              <w:ind w:left="1362"/>
              <w:rPr>
                <w:rFonts w:ascii="宋体" w:hAnsi="宋体" w:eastAsia="宋体" w:cs="宋体"/>
                <w:sz w:val="24"/>
                <w:szCs w:val="24"/>
              </w:rPr>
            </w:pPr>
            <w:r>
              <w:rPr>
                <w:rFonts w:ascii="宋体" w:hAnsi="宋体" w:eastAsia="宋体" w:cs="宋体"/>
                <w:sz w:val="24"/>
                <w:szCs w:val="24"/>
              </w:rPr>
              <w:t>指  导  教  师  评  语</w:t>
            </w:r>
          </w:p>
        </w:tc>
        <w:tc>
          <w:tcPr>
            <w:tcW w:w="8536" w:type="dxa"/>
            <w:tcBorders>
              <w:bottom w:val="nil"/>
            </w:tcBorders>
            <w:vAlign w:val="top"/>
          </w:tcPr>
          <w:p w14:paraId="06F081DF">
            <w:pPr>
              <w:pStyle w:val="7"/>
              <w:spacing w:line="250" w:lineRule="auto"/>
            </w:pPr>
          </w:p>
          <w:p w14:paraId="46F33EF9">
            <w:pPr>
              <w:pStyle w:val="7"/>
              <w:spacing w:line="250" w:lineRule="auto"/>
            </w:pPr>
          </w:p>
          <w:p w14:paraId="70E49C69">
            <w:pPr>
              <w:pStyle w:val="7"/>
              <w:spacing w:line="250" w:lineRule="auto"/>
            </w:pPr>
          </w:p>
          <w:p w14:paraId="4AFD7D3D">
            <w:pPr>
              <w:pStyle w:val="7"/>
              <w:spacing w:line="250" w:lineRule="auto"/>
            </w:pPr>
          </w:p>
          <w:p w14:paraId="6E075C7B">
            <w:pPr>
              <w:pStyle w:val="7"/>
              <w:spacing w:line="250" w:lineRule="auto"/>
            </w:pPr>
          </w:p>
          <w:p w14:paraId="4E928EB2">
            <w:pPr>
              <w:pStyle w:val="7"/>
              <w:spacing w:line="250" w:lineRule="auto"/>
            </w:pPr>
          </w:p>
          <w:p w14:paraId="2977993C">
            <w:pPr>
              <w:pStyle w:val="7"/>
              <w:spacing w:line="250" w:lineRule="auto"/>
            </w:pPr>
          </w:p>
          <w:p w14:paraId="77B0B12D">
            <w:pPr>
              <w:pStyle w:val="7"/>
              <w:spacing w:line="250" w:lineRule="auto"/>
            </w:pPr>
          </w:p>
          <w:p w14:paraId="7A87E0F8">
            <w:pPr>
              <w:pStyle w:val="7"/>
              <w:spacing w:line="251" w:lineRule="auto"/>
            </w:pPr>
          </w:p>
          <w:p w14:paraId="4CE96BD6">
            <w:pPr>
              <w:pStyle w:val="7"/>
              <w:spacing w:line="251" w:lineRule="auto"/>
            </w:pPr>
          </w:p>
          <w:p w14:paraId="3903156F">
            <w:pPr>
              <w:pStyle w:val="7"/>
              <w:spacing w:line="251" w:lineRule="auto"/>
            </w:pPr>
          </w:p>
          <w:p w14:paraId="032E26EF">
            <w:pPr>
              <w:pStyle w:val="7"/>
              <w:spacing w:line="251" w:lineRule="auto"/>
            </w:pPr>
          </w:p>
          <w:p w14:paraId="4F128213">
            <w:pPr>
              <w:pStyle w:val="7"/>
              <w:spacing w:line="251" w:lineRule="auto"/>
            </w:pPr>
          </w:p>
          <w:p w14:paraId="2904B94E">
            <w:pPr>
              <w:pStyle w:val="7"/>
              <w:spacing w:line="251" w:lineRule="auto"/>
            </w:pPr>
          </w:p>
          <w:p w14:paraId="0F259048">
            <w:pPr>
              <w:spacing w:line="640" w:lineRule="exact"/>
              <w:ind w:firstLine="287"/>
            </w:pPr>
            <w:r>
              <w:rPr>
                <w:position w:val="-12"/>
              </w:rPr>
              <mc:AlternateContent>
                <mc:Choice Requires="wpg">
                  <w:drawing>
                    <wp:inline distT="0" distB="0" distL="114300" distR="114300">
                      <wp:extent cx="1495425" cy="406400"/>
                      <wp:effectExtent l="12700" t="0" r="15875" b="12700"/>
                      <wp:docPr id="4" name="组合 4"/>
                      <wp:cNvGraphicFramePr/>
                      <a:graphic xmlns:a="http://schemas.openxmlformats.org/drawingml/2006/main">
                        <a:graphicData uri="http://schemas.microsoft.com/office/word/2010/wordprocessingGroup">
                          <wpg:wgp>
                            <wpg:cNvGrpSpPr/>
                            <wpg:grpSpPr>
                              <a:xfrm>
                                <a:off x="0" y="0"/>
                                <a:ext cx="1495425" cy="406400"/>
                                <a:chOff x="0" y="0"/>
                                <a:chExt cx="2355" cy="640"/>
                              </a:xfrm>
                            </wpg:grpSpPr>
                            <pic:pic xmlns:pic="http://schemas.openxmlformats.org/drawingml/2006/picture">
                              <pic:nvPicPr>
                                <pic:cNvPr id="1" name="图片 3"/>
                                <pic:cNvPicPr>
                                  <a:picLocks noChangeAspect="1"/>
                                </pic:cNvPicPr>
                              </pic:nvPicPr>
                              <pic:blipFill>
                                <a:blip r:embed="rId21"/>
                                <a:stretch>
                                  <a:fillRect/>
                                </a:stretch>
                              </pic:blipFill>
                              <pic:spPr>
                                <a:xfrm>
                                  <a:off x="0" y="0"/>
                                  <a:ext cx="2355" cy="640"/>
                                </a:xfrm>
                                <a:prstGeom prst="rect">
                                  <a:avLst/>
                                </a:prstGeom>
                                <a:noFill/>
                                <a:ln>
                                  <a:noFill/>
                                </a:ln>
                              </pic:spPr>
                            </pic:pic>
                            <wps:wsp>
                              <wps:cNvPr id="3" name="文本框 3"/>
                              <wps:cNvSpPr txBox="1"/>
                              <wps:spPr>
                                <a:xfrm>
                                  <a:off x="-20" y="-20"/>
                                  <a:ext cx="2395" cy="680"/>
                                </a:xfrm>
                                <a:prstGeom prst="rect">
                                  <a:avLst/>
                                </a:prstGeom>
                                <a:noFill/>
                                <a:ln>
                                  <a:noFill/>
                                </a:ln>
                              </wps:spPr>
                              <wps:txbx>
                                <w:txbxContent>
                                  <w:p w14:paraId="2F3A92CB">
                                    <w:pPr>
                                      <w:spacing w:before="143" w:line="220" w:lineRule="auto"/>
                                      <w:ind w:left="187"/>
                                      <w:rPr>
                                        <w:rFonts w:ascii="宋体" w:hAnsi="宋体" w:eastAsia="宋体" w:cs="宋体"/>
                                        <w:sz w:val="24"/>
                                        <w:szCs w:val="24"/>
                                      </w:rPr>
                                    </w:pPr>
                                    <w:r>
                                      <w:rPr>
                                        <w:rFonts w:ascii="宋体" w:hAnsi="宋体" w:eastAsia="宋体" w:cs="宋体"/>
                                        <w:spacing w:val="-11"/>
                                        <w:sz w:val="24"/>
                                        <w:szCs w:val="24"/>
                                      </w:rPr>
                                      <w:t>初评成绩：</w:t>
                                    </w:r>
                                  </w:p>
                                </w:txbxContent>
                              </wps:txbx>
                              <wps:bodyPr lIns="0" tIns="0" rIns="0" bIns="0" upright="1"/>
                            </wps:wsp>
                          </wpg:wgp>
                        </a:graphicData>
                      </a:graphic>
                    </wp:inline>
                  </w:drawing>
                </mc:Choice>
                <mc:Fallback>
                  <w:pict>
                    <v:group id="_x0000_s1026" o:spid="_x0000_s1026" o:spt="203" style="height:32pt;width:117.75pt;" coordsize="2355,640" o:gfxdata="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">
                      <o:lock v:ext="edit" aspectratio="f"/>
                      <v:shape id="图片 3" o:spid="_x0000_s1026" o:spt="75" type="#_x0000_t75" style="position:absolute;left:0;top:0;height:640;width:2355;" filled="f" o:preferrelative="t" stroked="f" coordsize="21600,21600" o:gfxdata="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rcaBi5AAAA2gAA&#10;AA8AAAAAAAAAAQAgAAAAIgAAAGRycy9kb3ducmV2LnhtbFBLAQIUABQAAAAIAIdO4kAzLwWeOwAA&#10;ADkAAAAQAAAAAAAAAAEAIAAAAAgBAABkcnMvc2hhcGV4bWwueG1sUEsFBgAAAAAGAAYAWwEAALID&#10;AAAAAA==&#10;">
                        <v:fill on="f" focussize="0,0"/>
                        <v:stroke on="f"/>
                        <v:imagedata r:id="rId21" o:title=""/>
                        <o:lock v:ext="edit" aspectratio="t"/>
                      </v:shape>
                      <v:shape id="_x0000_s1026" o:spid="_x0000_s1026" o:spt="202" type="#_x0000_t202" style="position:absolute;left:-20;top:-20;height:680;width:2395;" filled="f" stroked="f" coordsize="21600,21600" o:gfxdata="UEsDBAoAAAAAAIdO4kAAAAAAAAAAAAAAAAAEAAAAZHJzL1BLAwQUAAAACACHTuJA/un4k70AAADa&#10;AAAADwAAAGRycy9kb3ducmV2LnhtbEWPQWsCMRSE70L/Q3gFb5pYQX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fiT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2F3A92CB">
                              <w:pPr>
                                <w:spacing w:before="143" w:line="220" w:lineRule="auto"/>
                                <w:ind w:left="187"/>
                                <w:rPr>
                                  <w:rFonts w:ascii="宋体" w:hAnsi="宋体" w:eastAsia="宋体" w:cs="宋体"/>
                                  <w:sz w:val="24"/>
                                  <w:szCs w:val="24"/>
                                </w:rPr>
                              </w:pPr>
                              <w:r>
                                <w:rPr>
                                  <w:rFonts w:ascii="宋体" w:hAnsi="宋体" w:eastAsia="宋体" w:cs="宋体"/>
                                  <w:spacing w:val="-11"/>
                                  <w:sz w:val="24"/>
                                  <w:szCs w:val="24"/>
                                </w:rPr>
                                <w:t>初评成绩：</w:t>
                              </w:r>
                            </w:p>
                          </w:txbxContent>
                        </v:textbox>
                      </v:shape>
                      <w10:wrap type="none"/>
                      <w10:anchorlock/>
                    </v:group>
                  </w:pict>
                </mc:Fallback>
              </mc:AlternateContent>
            </w:r>
          </w:p>
        </w:tc>
      </w:tr>
      <w:tr w14:paraId="05E4A8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572" w:type="dxa"/>
            <w:vMerge w:val="continue"/>
            <w:tcBorders>
              <w:top w:val="nil"/>
            </w:tcBorders>
            <w:textDirection w:val="tbRlV"/>
            <w:vAlign w:val="top"/>
          </w:tcPr>
          <w:p w14:paraId="257DDB0F">
            <w:pPr>
              <w:pStyle w:val="7"/>
            </w:pPr>
          </w:p>
        </w:tc>
        <w:tc>
          <w:tcPr>
            <w:tcW w:w="8536" w:type="dxa"/>
            <w:tcBorders>
              <w:top w:val="nil"/>
            </w:tcBorders>
            <w:vAlign w:val="top"/>
          </w:tcPr>
          <w:p w14:paraId="3C2A3F25">
            <w:pPr>
              <w:spacing w:before="245" w:line="219" w:lineRule="auto"/>
              <w:ind w:left="5275"/>
              <w:rPr>
                <w:rFonts w:ascii="宋体" w:hAnsi="宋体" w:eastAsia="宋体" w:cs="宋体"/>
                <w:sz w:val="24"/>
                <w:szCs w:val="24"/>
              </w:rPr>
            </w:pPr>
            <w:r>
              <w:rPr>
                <w:rFonts w:ascii="宋体" w:hAnsi="宋体" w:eastAsia="宋体" w:cs="宋体"/>
                <w:spacing w:val="-19"/>
                <w:sz w:val="24"/>
                <w:szCs w:val="24"/>
              </w:rPr>
              <w:t>指导教师（签名</w:t>
            </w:r>
            <w:r>
              <w:rPr>
                <w:rFonts w:ascii="宋体" w:hAnsi="宋体" w:eastAsia="宋体" w:cs="宋体"/>
                <w:spacing w:val="-9"/>
                <w:sz w:val="24"/>
                <w:szCs w:val="24"/>
              </w:rPr>
              <w:t>）：</w:t>
            </w:r>
          </w:p>
          <w:p w14:paraId="4E46FB1B">
            <w:pPr>
              <w:spacing w:before="40" w:line="203" w:lineRule="auto"/>
              <w:ind w:left="6593"/>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8"/>
                <w:sz w:val="24"/>
                <w:szCs w:val="24"/>
              </w:rPr>
              <w:t xml:space="preserve">   </w:t>
            </w:r>
            <w:r>
              <w:rPr>
                <w:rFonts w:ascii="宋体" w:hAnsi="宋体" w:eastAsia="宋体" w:cs="宋体"/>
                <w:spacing w:val="-9"/>
                <w:sz w:val="24"/>
                <w:szCs w:val="24"/>
              </w:rPr>
              <w:t>日</w:t>
            </w:r>
          </w:p>
        </w:tc>
      </w:tr>
    </w:tbl>
    <w:p w14:paraId="07175E31">
      <w:pPr>
        <w:spacing w:line="313" w:lineRule="auto"/>
      </w:pPr>
    </w:p>
    <w:p w14:paraId="1C61A157">
      <w:pPr>
        <w:pStyle w:val="2"/>
        <w:spacing w:before="78" w:line="219" w:lineRule="auto"/>
        <w:ind w:left="122"/>
        <w:rPr>
          <w:spacing w:val="-1"/>
          <w:sz w:val="24"/>
          <w:szCs w:val="24"/>
        </w:rPr>
      </w:pPr>
      <w:r>
        <w:rPr>
          <w:spacing w:val="-1"/>
          <w:sz w:val="24"/>
          <w:szCs w:val="24"/>
        </w:rPr>
        <w:t>三、 论文答辩</w:t>
      </w:r>
    </w:p>
    <w:p w14:paraId="1663B67B">
      <w:pPr>
        <w:pStyle w:val="2"/>
        <w:spacing w:before="78" w:line="219" w:lineRule="auto"/>
        <w:ind w:left="122"/>
        <w:rPr>
          <w:spacing w:val="-1"/>
          <w:sz w:val="24"/>
          <w:szCs w:val="24"/>
        </w:rPr>
      </w:pPr>
    </w:p>
    <w:p w14:paraId="4B9B00DC">
      <w:pPr>
        <w:spacing w:line="24" w:lineRule="exact"/>
      </w:pPr>
    </w:p>
    <w:tbl>
      <w:tblPr>
        <w:tblStyle w:val="6"/>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7"/>
        <w:gridCol w:w="1514"/>
        <w:gridCol w:w="2665"/>
        <w:gridCol w:w="4536"/>
      </w:tblGrid>
      <w:tr w14:paraId="6E91A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577" w:type="dxa"/>
            <w:vMerge w:val="restart"/>
            <w:tcBorders>
              <w:bottom w:val="nil"/>
            </w:tcBorders>
            <w:textDirection w:val="tbRlV"/>
            <w:vAlign w:val="top"/>
          </w:tcPr>
          <w:p w14:paraId="7D8E1FED">
            <w:pPr>
              <w:spacing w:before="223" w:line="209" w:lineRule="auto"/>
              <w:ind w:left="3757"/>
              <w:rPr>
                <w:rFonts w:ascii="宋体" w:hAnsi="宋体" w:eastAsia="宋体" w:cs="宋体"/>
                <w:sz w:val="24"/>
                <w:szCs w:val="24"/>
              </w:rPr>
            </w:pPr>
            <w:r>
              <w:rPr>
                <w:rFonts w:ascii="宋体" w:hAnsi="宋体" w:eastAsia="宋体" w:cs="宋体"/>
                <w:spacing w:val="-1"/>
                <w:sz w:val="24"/>
                <w:szCs w:val="24"/>
              </w:rPr>
              <w:t>答  辩  记  录</w:t>
            </w:r>
          </w:p>
        </w:tc>
        <w:tc>
          <w:tcPr>
            <w:tcW w:w="1514" w:type="dxa"/>
            <w:vAlign w:val="top"/>
          </w:tcPr>
          <w:p w14:paraId="0A537421">
            <w:pPr>
              <w:spacing w:before="244" w:line="219" w:lineRule="auto"/>
              <w:ind w:left="161"/>
              <w:rPr>
                <w:rFonts w:ascii="宋体" w:hAnsi="宋体" w:eastAsia="宋体" w:cs="宋体"/>
                <w:sz w:val="24"/>
                <w:szCs w:val="24"/>
              </w:rPr>
            </w:pPr>
            <w:r>
              <w:rPr>
                <w:rFonts w:ascii="宋体" w:hAnsi="宋体" w:eastAsia="宋体" w:cs="宋体"/>
                <w:spacing w:val="-2"/>
                <w:sz w:val="24"/>
                <w:szCs w:val="24"/>
              </w:rPr>
              <w:t>答辩主持人</w:t>
            </w:r>
          </w:p>
        </w:tc>
        <w:tc>
          <w:tcPr>
            <w:tcW w:w="7201" w:type="dxa"/>
            <w:gridSpan w:val="2"/>
            <w:vAlign w:val="top"/>
          </w:tcPr>
          <w:p w14:paraId="4ACA7006">
            <w:pPr>
              <w:pStyle w:val="7"/>
            </w:pPr>
          </w:p>
        </w:tc>
      </w:tr>
      <w:tr w14:paraId="38C31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577" w:type="dxa"/>
            <w:vMerge w:val="continue"/>
            <w:tcBorders>
              <w:top w:val="nil"/>
              <w:bottom w:val="nil"/>
            </w:tcBorders>
            <w:textDirection w:val="tbRlV"/>
            <w:vAlign w:val="top"/>
          </w:tcPr>
          <w:p w14:paraId="62213521">
            <w:pPr>
              <w:pStyle w:val="7"/>
            </w:pPr>
          </w:p>
        </w:tc>
        <w:tc>
          <w:tcPr>
            <w:tcW w:w="1514" w:type="dxa"/>
            <w:vAlign w:val="top"/>
          </w:tcPr>
          <w:p w14:paraId="6DEE827E">
            <w:pPr>
              <w:spacing w:before="52" w:line="219" w:lineRule="auto"/>
              <w:ind w:left="281"/>
              <w:rPr>
                <w:rFonts w:ascii="宋体" w:hAnsi="宋体" w:eastAsia="宋体" w:cs="宋体"/>
                <w:sz w:val="24"/>
                <w:szCs w:val="24"/>
              </w:rPr>
            </w:pPr>
            <w:r>
              <w:rPr>
                <w:rFonts w:ascii="宋体" w:hAnsi="宋体" w:eastAsia="宋体" w:cs="宋体"/>
                <w:spacing w:val="-2"/>
                <w:sz w:val="24"/>
                <w:szCs w:val="24"/>
              </w:rPr>
              <w:t>答辩小组</w:t>
            </w:r>
          </w:p>
          <w:p w14:paraId="095D8C2A">
            <w:pPr>
              <w:spacing w:before="34" w:line="203" w:lineRule="auto"/>
              <w:ind w:left="523"/>
              <w:rPr>
                <w:rFonts w:ascii="宋体" w:hAnsi="宋体" w:eastAsia="宋体" w:cs="宋体"/>
                <w:sz w:val="24"/>
                <w:szCs w:val="24"/>
              </w:rPr>
            </w:pPr>
            <w:r>
              <w:rPr>
                <w:rFonts w:ascii="宋体" w:hAnsi="宋体" w:eastAsia="宋体" w:cs="宋体"/>
                <w:spacing w:val="-3"/>
                <w:sz w:val="24"/>
                <w:szCs w:val="24"/>
              </w:rPr>
              <w:t>成员</w:t>
            </w:r>
          </w:p>
        </w:tc>
        <w:tc>
          <w:tcPr>
            <w:tcW w:w="7201" w:type="dxa"/>
            <w:gridSpan w:val="2"/>
            <w:vAlign w:val="top"/>
          </w:tcPr>
          <w:p w14:paraId="2A4B1D96">
            <w:pPr>
              <w:pStyle w:val="7"/>
            </w:pPr>
          </w:p>
        </w:tc>
      </w:tr>
      <w:tr w14:paraId="1864D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577" w:type="dxa"/>
            <w:vMerge w:val="continue"/>
            <w:tcBorders>
              <w:top w:val="nil"/>
              <w:bottom w:val="nil"/>
            </w:tcBorders>
            <w:textDirection w:val="tbRlV"/>
            <w:vAlign w:val="top"/>
          </w:tcPr>
          <w:p w14:paraId="78E67980">
            <w:pPr>
              <w:pStyle w:val="7"/>
            </w:pPr>
          </w:p>
        </w:tc>
        <w:tc>
          <w:tcPr>
            <w:tcW w:w="1514" w:type="dxa"/>
            <w:vAlign w:val="top"/>
          </w:tcPr>
          <w:p w14:paraId="6180D35D">
            <w:pPr>
              <w:spacing w:before="200" w:line="219" w:lineRule="auto"/>
              <w:ind w:left="340"/>
              <w:rPr>
                <w:rFonts w:ascii="宋体" w:hAnsi="宋体" w:eastAsia="宋体" w:cs="宋体"/>
                <w:sz w:val="24"/>
                <w:szCs w:val="24"/>
              </w:rPr>
            </w:pPr>
            <w:r>
              <w:rPr>
                <w:rFonts w:ascii="宋体" w:hAnsi="宋体" w:eastAsia="宋体" w:cs="宋体"/>
                <w:spacing w:val="-5"/>
                <w:sz w:val="24"/>
                <w:szCs w:val="24"/>
              </w:rPr>
              <w:t>秘</w:t>
            </w:r>
            <w:r>
              <w:rPr>
                <w:rFonts w:ascii="宋体" w:hAnsi="宋体" w:eastAsia="宋体" w:cs="宋体"/>
                <w:spacing w:val="4"/>
                <w:sz w:val="24"/>
                <w:szCs w:val="24"/>
              </w:rPr>
              <w:t xml:space="preserve">   </w:t>
            </w:r>
            <w:r>
              <w:rPr>
                <w:rFonts w:ascii="宋体" w:hAnsi="宋体" w:eastAsia="宋体" w:cs="宋体"/>
                <w:spacing w:val="-5"/>
                <w:sz w:val="24"/>
                <w:szCs w:val="24"/>
              </w:rPr>
              <w:t>书</w:t>
            </w:r>
          </w:p>
        </w:tc>
        <w:tc>
          <w:tcPr>
            <w:tcW w:w="7201" w:type="dxa"/>
            <w:gridSpan w:val="2"/>
            <w:vAlign w:val="top"/>
          </w:tcPr>
          <w:p w14:paraId="3CC2165A">
            <w:pPr>
              <w:pStyle w:val="7"/>
            </w:pPr>
          </w:p>
        </w:tc>
      </w:tr>
      <w:tr w14:paraId="74A68D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trPr>
        <w:tc>
          <w:tcPr>
            <w:tcW w:w="577" w:type="dxa"/>
            <w:vMerge w:val="continue"/>
            <w:tcBorders>
              <w:top w:val="nil"/>
              <w:bottom w:val="nil"/>
            </w:tcBorders>
            <w:textDirection w:val="tbRlV"/>
            <w:vAlign w:val="top"/>
          </w:tcPr>
          <w:p w14:paraId="6E5367CD">
            <w:pPr>
              <w:pStyle w:val="7"/>
            </w:pPr>
          </w:p>
        </w:tc>
        <w:tc>
          <w:tcPr>
            <w:tcW w:w="1514" w:type="dxa"/>
            <w:vAlign w:val="top"/>
          </w:tcPr>
          <w:p w14:paraId="27B5C253">
            <w:pPr>
              <w:spacing w:before="199" w:line="219" w:lineRule="auto"/>
              <w:ind w:left="281"/>
              <w:rPr>
                <w:rFonts w:ascii="宋体" w:hAnsi="宋体" w:eastAsia="宋体" w:cs="宋体"/>
                <w:sz w:val="24"/>
                <w:szCs w:val="24"/>
              </w:rPr>
            </w:pPr>
            <w:r>
              <w:rPr>
                <w:rFonts w:ascii="宋体" w:hAnsi="宋体" w:eastAsia="宋体" w:cs="宋体"/>
                <w:spacing w:val="-2"/>
                <w:sz w:val="24"/>
                <w:szCs w:val="24"/>
              </w:rPr>
              <w:t>答辩日期</w:t>
            </w:r>
          </w:p>
        </w:tc>
        <w:tc>
          <w:tcPr>
            <w:tcW w:w="7201" w:type="dxa"/>
            <w:gridSpan w:val="2"/>
            <w:vAlign w:val="top"/>
          </w:tcPr>
          <w:p w14:paraId="65192EB4">
            <w:pPr>
              <w:pStyle w:val="7"/>
            </w:pPr>
          </w:p>
        </w:tc>
      </w:tr>
      <w:tr w14:paraId="424513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9" w:hRule="atLeast"/>
        </w:trPr>
        <w:tc>
          <w:tcPr>
            <w:tcW w:w="577" w:type="dxa"/>
            <w:vMerge w:val="continue"/>
            <w:tcBorders>
              <w:top w:val="nil"/>
              <w:bottom w:val="nil"/>
            </w:tcBorders>
            <w:textDirection w:val="tbRlV"/>
            <w:vAlign w:val="top"/>
          </w:tcPr>
          <w:p w14:paraId="1AFA9145">
            <w:pPr>
              <w:pStyle w:val="7"/>
            </w:pPr>
          </w:p>
        </w:tc>
        <w:tc>
          <w:tcPr>
            <w:tcW w:w="4179" w:type="dxa"/>
            <w:gridSpan w:val="2"/>
            <w:vAlign w:val="top"/>
          </w:tcPr>
          <w:p w14:paraId="7F58F706">
            <w:pPr>
              <w:spacing w:before="273" w:line="219" w:lineRule="auto"/>
              <w:ind w:left="1376"/>
              <w:rPr>
                <w:rFonts w:ascii="宋体" w:hAnsi="宋体" w:eastAsia="宋体" w:cs="宋体"/>
                <w:sz w:val="24"/>
                <w:szCs w:val="24"/>
              </w:rPr>
            </w:pPr>
            <w:r>
              <w:rPr>
                <w:rFonts w:ascii="宋体" w:hAnsi="宋体" w:eastAsia="宋体" w:cs="宋体"/>
                <w:spacing w:val="-2"/>
                <w:sz w:val="24"/>
                <w:szCs w:val="24"/>
              </w:rPr>
              <w:t>答辩教师提问</w:t>
            </w:r>
          </w:p>
        </w:tc>
        <w:tc>
          <w:tcPr>
            <w:tcW w:w="4536" w:type="dxa"/>
            <w:vAlign w:val="top"/>
          </w:tcPr>
          <w:p w14:paraId="6A868BE9">
            <w:pPr>
              <w:spacing w:before="272" w:line="220" w:lineRule="auto"/>
              <w:ind w:left="1557"/>
              <w:rPr>
                <w:rFonts w:ascii="宋体" w:hAnsi="宋体" w:eastAsia="宋体" w:cs="宋体"/>
                <w:sz w:val="24"/>
                <w:szCs w:val="24"/>
              </w:rPr>
            </w:pPr>
            <w:r>
              <w:rPr>
                <w:rFonts w:ascii="宋体" w:hAnsi="宋体" w:eastAsia="宋体" w:cs="宋体"/>
                <w:spacing w:val="-2"/>
                <w:sz w:val="24"/>
                <w:szCs w:val="24"/>
              </w:rPr>
              <w:t>学生回答情况</w:t>
            </w:r>
          </w:p>
        </w:tc>
      </w:tr>
      <w:tr w14:paraId="6249B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4" w:hRule="atLeast"/>
        </w:trPr>
        <w:tc>
          <w:tcPr>
            <w:tcW w:w="577" w:type="dxa"/>
            <w:vMerge w:val="continue"/>
            <w:tcBorders>
              <w:top w:val="nil"/>
              <w:bottom w:val="nil"/>
            </w:tcBorders>
            <w:textDirection w:val="tbRlV"/>
            <w:vAlign w:val="top"/>
          </w:tcPr>
          <w:p w14:paraId="74867FB7">
            <w:pPr>
              <w:pStyle w:val="7"/>
            </w:pPr>
          </w:p>
        </w:tc>
        <w:tc>
          <w:tcPr>
            <w:tcW w:w="4179" w:type="dxa"/>
            <w:gridSpan w:val="2"/>
            <w:vAlign w:val="top"/>
          </w:tcPr>
          <w:p w14:paraId="1A1C55B1">
            <w:pPr>
              <w:spacing w:before="222" w:line="180" w:lineRule="auto"/>
              <w:ind w:left="132"/>
              <w:rPr>
                <w:rFonts w:ascii="宋体" w:hAnsi="宋体" w:eastAsia="宋体" w:cs="宋体"/>
                <w:sz w:val="24"/>
                <w:szCs w:val="24"/>
              </w:rPr>
            </w:pPr>
            <w:r>
              <w:rPr>
                <w:rFonts w:ascii="Times New Roman" w:hAnsi="Times New Roman" w:eastAsia="Times New Roman" w:cs="Times New Roman"/>
                <w:spacing w:val="-15"/>
                <w:sz w:val="24"/>
                <w:szCs w:val="24"/>
              </w:rPr>
              <w:t>1</w:t>
            </w:r>
            <w:r>
              <w:rPr>
                <w:rFonts w:ascii="宋体" w:hAnsi="宋体" w:eastAsia="宋体" w:cs="宋体"/>
                <w:spacing w:val="-15"/>
                <w:sz w:val="24"/>
                <w:szCs w:val="24"/>
              </w:rPr>
              <w:t>．</w:t>
            </w:r>
          </w:p>
        </w:tc>
        <w:tc>
          <w:tcPr>
            <w:tcW w:w="4536" w:type="dxa"/>
            <w:vAlign w:val="top"/>
          </w:tcPr>
          <w:p w14:paraId="79433609">
            <w:pPr>
              <w:pStyle w:val="7"/>
            </w:pPr>
          </w:p>
        </w:tc>
      </w:tr>
      <w:tr w14:paraId="629262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4" w:hRule="atLeast"/>
        </w:trPr>
        <w:tc>
          <w:tcPr>
            <w:tcW w:w="577" w:type="dxa"/>
            <w:vMerge w:val="continue"/>
            <w:tcBorders>
              <w:top w:val="nil"/>
              <w:bottom w:val="nil"/>
            </w:tcBorders>
            <w:textDirection w:val="tbRlV"/>
            <w:vAlign w:val="top"/>
          </w:tcPr>
          <w:p w14:paraId="72A6134B">
            <w:pPr>
              <w:pStyle w:val="7"/>
            </w:pPr>
          </w:p>
        </w:tc>
        <w:tc>
          <w:tcPr>
            <w:tcW w:w="4179" w:type="dxa"/>
            <w:gridSpan w:val="2"/>
            <w:vAlign w:val="top"/>
          </w:tcPr>
          <w:p w14:paraId="6F489DD2">
            <w:pPr>
              <w:spacing w:before="222" w:line="180" w:lineRule="auto"/>
              <w:ind w:left="109"/>
              <w:rPr>
                <w:rFonts w:ascii="宋体" w:hAnsi="宋体" w:eastAsia="宋体" w:cs="宋体"/>
                <w:sz w:val="24"/>
                <w:szCs w:val="24"/>
              </w:rPr>
            </w:pPr>
            <w:r>
              <w:rPr>
                <w:rFonts w:ascii="Times New Roman" w:hAnsi="Times New Roman" w:eastAsia="Times New Roman" w:cs="Times New Roman"/>
                <w:spacing w:val="-3"/>
                <w:sz w:val="24"/>
                <w:szCs w:val="24"/>
              </w:rPr>
              <w:t>2</w:t>
            </w:r>
            <w:r>
              <w:rPr>
                <w:rFonts w:ascii="宋体" w:hAnsi="宋体" w:eastAsia="宋体" w:cs="宋体"/>
                <w:spacing w:val="-3"/>
                <w:sz w:val="24"/>
                <w:szCs w:val="24"/>
              </w:rPr>
              <w:t>．</w:t>
            </w:r>
          </w:p>
        </w:tc>
        <w:tc>
          <w:tcPr>
            <w:tcW w:w="4536" w:type="dxa"/>
            <w:vAlign w:val="top"/>
          </w:tcPr>
          <w:p w14:paraId="741F04ED">
            <w:pPr>
              <w:pStyle w:val="7"/>
            </w:pPr>
          </w:p>
        </w:tc>
      </w:tr>
      <w:tr w14:paraId="4B473D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09" w:hRule="atLeast"/>
        </w:trPr>
        <w:tc>
          <w:tcPr>
            <w:tcW w:w="577" w:type="dxa"/>
            <w:vMerge w:val="continue"/>
            <w:tcBorders>
              <w:top w:val="nil"/>
              <w:bottom w:val="nil"/>
            </w:tcBorders>
            <w:textDirection w:val="tbRlV"/>
            <w:vAlign w:val="top"/>
          </w:tcPr>
          <w:p w14:paraId="4F112CED">
            <w:pPr>
              <w:pStyle w:val="7"/>
            </w:pPr>
          </w:p>
        </w:tc>
        <w:tc>
          <w:tcPr>
            <w:tcW w:w="4179" w:type="dxa"/>
            <w:gridSpan w:val="2"/>
            <w:vAlign w:val="top"/>
          </w:tcPr>
          <w:p w14:paraId="1A86BAF3">
            <w:pPr>
              <w:pStyle w:val="7"/>
              <w:spacing w:line="284" w:lineRule="auto"/>
            </w:pPr>
          </w:p>
          <w:p w14:paraId="476C92FD">
            <w:pPr>
              <w:spacing w:before="79" w:line="180" w:lineRule="auto"/>
              <w:ind w:left="114"/>
              <w:rPr>
                <w:rFonts w:ascii="宋体" w:hAnsi="宋体" w:eastAsia="宋体" w:cs="宋体"/>
                <w:sz w:val="24"/>
                <w:szCs w:val="24"/>
              </w:rPr>
            </w:pPr>
            <w:r>
              <w:rPr>
                <w:rFonts w:ascii="Times New Roman" w:hAnsi="Times New Roman" w:eastAsia="Times New Roman" w:cs="Times New Roman"/>
                <w:spacing w:val="-5"/>
                <w:sz w:val="24"/>
                <w:szCs w:val="24"/>
              </w:rPr>
              <w:t>3</w:t>
            </w:r>
            <w:r>
              <w:rPr>
                <w:rFonts w:ascii="宋体" w:hAnsi="宋体" w:eastAsia="宋体" w:cs="宋体"/>
                <w:spacing w:val="-5"/>
                <w:sz w:val="24"/>
                <w:szCs w:val="24"/>
              </w:rPr>
              <w:t>．</w:t>
            </w:r>
          </w:p>
        </w:tc>
        <w:tc>
          <w:tcPr>
            <w:tcW w:w="4536" w:type="dxa"/>
            <w:vAlign w:val="top"/>
          </w:tcPr>
          <w:p w14:paraId="2BADBBBE">
            <w:pPr>
              <w:pStyle w:val="7"/>
            </w:pPr>
          </w:p>
        </w:tc>
      </w:tr>
      <w:tr w14:paraId="02252C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17" w:hRule="atLeast"/>
        </w:trPr>
        <w:tc>
          <w:tcPr>
            <w:tcW w:w="577" w:type="dxa"/>
            <w:vMerge w:val="continue"/>
            <w:tcBorders>
              <w:top w:val="nil"/>
            </w:tcBorders>
            <w:textDirection w:val="tbRlV"/>
            <w:vAlign w:val="top"/>
          </w:tcPr>
          <w:p w14:paraId="017A7CC6">
            <w:pPr>
              <w:pStyle w:val="7"/>
            </w:pPr>
          </w:p>
        </w:tc>
        <w:tc>
          <w:tcPr>
            <w:tcW w:w="4179" w:type="dxa"/>
            <w:gridSpan w:val="2"/>
            <w:vAlign w:val="top"/>
          </w:tcPr>
          <w:p w14:paraId="449DE0B7">
            <w:pPr>
              <w:spacing w:before="270" w:line="180" w:lineRule="auto"/>
              <w:ind w:left="108"/>
              <w:rPr>
                <w:rFonts w:ascii="宋体" w:hAnsi="宋体" w:eastAsia="宋体" w:cs="宋体"/>
                <w:sz w:val="24"/>
                <w:szCs w:val="24"/>
              </w:rPr>
            </w:pPr>
            <w:r>
              <w:rPr>
                <w:rFonts w:ascii="Times New Roman" w:hAnsi="Times New Roman" w:eastAsia="Times New Roman" w:cs="Times New Roman"/>
                <w:spacing w:val="-2"/>
                <w:sz w:val="24"/>
                <w:szCs w:val="24"/>
              </w:rPr>
              <w:t>4</w:t>
            </w:r>
            <w:r>
              <w:rPr>
                <w:rFonts w:ascii="宋体" w:hAnsi="宋体" w:eastAsia="宋体" w:cs="宋体"/>
                <w:spacing w:val="-2"/>
                <w:sz w:val="24"/>
                <w:szCs w:val="24"/>
              </w:rPr>
              <w:t>．</w:t>
            </w:r>
          </w:p>
        </w:tc>
        <w:tc>
          <w:tcPr>
            <w:tcW w:w="4536" w:type="dxa"/>
            <w:vAlign w:val="top"/>
          </w:tcPr>
          <w:p w14:paraId="76BA24F9">
            <w:pPr>
              <w:pStyle w:val="7"/>
            </w:pPr>
          </w:p>
        </w:tc>
      </w:tr>
    </w:tbl>
    <w:p w14:paraId="39C2005B">
      <w:pPr>
        <w:spacing w:line="313" w:lineRule="auto"/>
      </w:pPr>
    </w:p>
    <w:p w14:paraId="247A6381">
      <w:pPr>
        <w:spacing w:line="313" w:lineRule="auto"/>
      </w:pPr>
    </w:p>
    <w:p w14:paraId="28F35F13">
      <w:pPr>
        <w:spacing w:line="313" w:lineRule="auto"/>
      </w:pPr>
    </w:p>
    <w:p w14:paraId="4C6AD106">
      <w:pPr>
        <w:spacing w:line="313" w:lineRule="auto"/>
      </w:pPr>
    </w:p>
    <w:p w14:paraId="04A5EF63">
      <w:pPr>
        <w:spacing w:line="313" w:lineRule="auto"/>
      </w:pPr>
    </w:p>
    <w:p w14:paraId="01919E59">
      <w:pPr>
        <w:spacing w:line="90" w:lineRule="auto"/>
        <w:rPr>
          <w:rFonts w:ascii="Arial"/>
          <w:sz w:val="2"/>
        </w:rPr>
      </w:pPr>
    </w:p>
    <w:tbl>
      <w:tblPr>
        <w:tblStyle w:val="6"/>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7"/>
        <w:gridCol w:w="4179"/>
        <w:gridCol w:w="4536"/>
      </w:tblGrid>
      <w:tr w14:paraId="25DEFF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9" w:hRule="atLeast"/>
        </w:trPr>
        <w:tc>
          <w:tcPr>
            <w:tcW w:w="577" w:type="dxa"/>
            <w:vMerge w:val="restart"/>
            <w:tcBorders>
              <w:bottom w:val="nil"/>
            </w:tcBorders>
            <w:textDirection w:val="tbRlV"/>
            <w:vAlign w:val="top"/>
          </w:tcPr>
          <w:p w14:paraId="6EE4F38F">
            <w:pPr>
              <w:spacing w:before="223" w:line="209" w:lineRule="auto"/>
              <w:ind w:left="4503"/>
              <w:rPr>
                <w:rFonts w:ascii="宋体" w:hAnsi="宋体" w:eastAsia="宋体" w:cs="宋体"/>
                <w:sz w:val="24"/>
                <w:szCs w:val="24"/>
              </w:rPr>
            </w:pPr>
            <w:r>
              <w:rPr>
                <w:rFonts w:ascii="宋体" w:hAnsi="宋体" w:eastAsia="宋体" w:cs="宋体"/>
                <w:spacing w:val="-1"/>
                <w:sz w:val="24"/>
                <w:szCs w:val="24"/>
              </w:rPr>
              <w:t>答  辩  记  录</w:t>
            </w:r>
          </w:p>
        </w:tc>
        <w:tc>
          <w:tcPr>
            <w:tcW w:w="4179" w:type="dxa"/>
            <w:vAlign w:val="top"/>
          </w:tcPr>
          <w:p w14:paraId="4945DEA3">
            <w:pPr>
              <w:spacing w:before="227" w:line="178" w:lineRule="auto"/>
              <w:ind w:left="115"/>
              <w:rPr>
                <w:rFonts w:ascii="宋体" w:hAnsi="宋体" w:eastAsia="宋体" w:cs="宋体"/>
                <w:sz w:val="24"/>
                <w:szCs w:val="24"/>
              </w:rPr>
            </w:pPr>
            <w:r>
              <w:rPr>
                <w:rFonts w:ascii="Times New Roman" w:hAnsi="Times New Roman" w:eastAsia="Times New Roman" w:cs="Times New Roman"/>
                <w:spacing w:val="-6"/>
                <w:sz w:val="24"/>
                <w:szCs w:val="24"/>
              </w:rPr>
              <w:t>5</w:t>
            </w:r>
            <w:r>
              <w:rPr>
                <w:rFonts w:ascii="宋体" w:hAnsi="宋体" w:eastAsia="宋体" w:cs="宋体"/>
                <w:spacing w:val="-6"/>
                <w:sz w:val="24"/>
                <w:szCs w:val="24"/>
              </w:rPr>
              <w:t>．</w:t>
            </w:r>
          </w:p>
        </w:tc>
        <w:tc>
          <w:tcPr>
            <w:tcW w:w="4536" w:type="dxa"/>
            <w:vAlign w:val="top"/>
          </w:tcPr>
          <w:p w14:paraId="11F386CA">
            <w:pPr>
              <w:pStyle w:val="7"/>
            </w:pPr>
          </w:p>
        </w:tc>
      </w:tr>
      <w:tr w14:paraId="46058B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24" w:hRule="atLeast"/>
        </w:trPr>
        <w:tc>
          <w:tcPr>
            <w:tcW w:w="577" w:type="dxa"/>
            <w:vMerge w:val="continue"/>
            <w:tcBorders>
              <w:top w:val="nil"/>
              <w:bottom w:val="nil"/>
            </w:tcBorders>
            <w:textDirection w:val="tbRlV"/>
            <w:vAlign w:val="top"/>
          </w:tcPr>
          <w:p w14:paraId="2EE90F70">
            <w:pPr>
              <w:pStyle w:val="7"/>
            </w:pPr>
          </w:p>
        </w:tc>
        <w:tc>
          <w:tcPr>
            <w:tcW w:w="4179" w:type="dxa"/>
            <w:vAlign w:val="top"/>
          </w:tcPr>
          <w:p w14:paraId="0F92E84F">
            <w:pPr>
              <w:pStyle w:val="7"/>
              <w:spacing w:line="298" w:lineRule="auto"/>
            </w:pPr>
          </w:p>
          <w:p w14:paraId="177CB5B4">
            <w:pPr>
              <w:spacing w:before="69" w:line="188" w:lineRule="auto"/>
              <w:ind w:left="114"/>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536" w:type="dxa"/>
            <w:vAlign w:val="top"/>
          </w:tcPr>
          <w:p w14:paraId="446A184B">
            <w:pPr>
              <w:pStyle w:val="7"/>
            </w:pPr>
          </w:p>
        </w:tc>
      </w:tr>
      <w:tr w14:paraId="60AF8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24" w:hRule="atLeast"/>
        </w:trPr>
        <w:tc>
          <w:tcPr>
            <w:tcW w:w="577" w:type="dxa"/>
            <w:vMerge w:val="continue"/>
            <w:tcBorders>
              <w:top w:val="nil"/>
            </w:tcBorders>
            <w:textDirection w:val="tbRlV"/>
            <w:vAlign w:val="top"/>
          </w:tcPr>
          <w:p w14:paraId="73115585">
            <w:pPr>
              <w:pStyle w:val="7"/>
            </w:pPr>
          </w:p>
        </w:tc>
        <w:tc>
          <w:tcPr>
            <w:tcW w:w="4179" w:type="dxa"/>
            <w:vAlign w:val="top"/>
          </w:tcPr>
          <w:p w14:paraId="6E2315C0">
            <w:pPr>
              <w:pStyle w:val="7"/>
              <w:spacing w:line="305" w:lineRule="auto"/>
            </w:pPr>
          </w:p>
          <w:p w14:paraId="66F86145">
            <w:pPr>
              <w:spacing w:before="69" w:line="185" w:lineRule="auto"/>
              <w:ind w:left="113"/>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4536" w:type="dxa"/>
            <w:vAlign w:val="top"/>
          </w:tcPr>
          <w:p w14:paraId="619A22A5">
            <w:pPr>
              <w:pStyle w:val="7"/>
            </w:pPr>
          </w:p>
        </w:tc>
      </w:tr>
      <w:tr w14:paraId="7E2F0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1" w:hRule="atLeast"/>
        </w:trPr>
        <w:tc>
          <w:tcPr>
            <w:tcW w:w="577" w:type="dxa"/>
            <w:vMerge w:val="restart"/>
            <w:tcBorders>
              <w:bottom w:val="nil"/>
            </w:tcBorders>
            <w:textDirection w:val="tbRlV"/>
            <w:vAlign w:val="top"/>
          </w:tcPr>
          <w:p w14:paraId="41C4E0AC">
            <w:pPr>
              <w:spacing w:before="223" w:line="208" w:lineRule="auto"/>
              <w:ind w:left="842"/>
              <w:rPr>
                <w:rFonts w:ascii="宋体" w:hAnsi="宋体" w:eastAsia="宋体" w:cs="宋体"/>
                <w:sz w:val="24"/>
                <w:szCs w:val="24"/>
              </w:rPr>
            </w:pPr>
            <w:r>
              <w:rPr>
                <w:rFonts w:ascii="宋体" w:hAnsi="宋体" w:eastAsia="宋体" w:cs="宋体"/>
                <w:sz w:val="24"/>
                <w:szCs w:val="24"/>
              </w:rPr>
              <w:t>答  辩  小  组  意  见</w:t>
            </w:r>
          </w:p>
        </w:tc>
        <w:tc>
          <w:tcPr>
            <w:tcW w:w="8715" w:type="dxa"/>
            <w:gridSpan w:val="2"/>
            <w:tcBorders>
              <w:bottom w:val="nil"/>
            </w:tcBorders>
            <w:vAlign w:val="top"/>
          </w:tcPr>
          <w:p w14:paraId="430E8A61">
            <w:pPr>
              <w:spacing w:before="38" w:line="220" w:lineRule="auto"/>
              <w:ind w:left="112"/>
              <w:rPr>
                <w:rFonts w:ascii="宋体" w:hAnsi="宋体" w:eastAsia="宋体" w:cs="宋体"/>
                <w:spacing w:val="-16"/>
                <w:sz w:val="24"/>
                <w:szCs w:val="24"/>
              </w:rPr>
            </w:pPr>
            <w:r>
              <w:rPr>
                <w:rFonts w:ascii="宋体" w:hAnsi="宋体" w:eastAsia="宋体" w:cs="宋体"/>
                <w:spacing w:val="-16"/>
                <w:sz w:val="24"/>
                <w:szCs w:val="24"/>
              </w:rPr>
              <w:t>评语：</w:t>
            </w:r>
          </w:p>
          <w:p w14:paraId="66551D4F">
            <w:pPr>
              <w:spacing w:before="38" w:line="220" w:lineRule="auto"/>
              <w:ind w:left="112"/>
              <w:rPr>
                <w:rFonts w:ascii="宋体" w:hAnsi="宋体" w:eastAsia="宋体" w:cs="宋体"/>
                <w:spacing w:val="-16"/>
                <w:sz w:val="24"/>
                <w:szCs w:val="24"/>
              </w:rPr>
            </w:pPr>
          </w:p>
          <w:p w14:paraId="1FE2CA5C">
            <w:pPr>
              <w:spacing w:before="38" w:line="220" w:lineRule="auto"/>
              <w:ind w:left="112"/>
              <w:rPr>
                <w:rFonts w:ascii="宋体" w:hAnsi="宋体" w:eastAsia="宋体" w:cs="宋体"/>
                <w:spacing w:val="-16"/>
                <w:sz w:val="24"/>
                <w:szCs w:val="24"/>
              </w:rPr>
            </w:pPr>
          </w:p>
          <w:p w14:paraId="0FB2D8D2">
            <w:pPr>
              <w:spacing w:before="38" w:line="220" w:lineRule="auto"/>
              <w:ind w:left="112"/>
              <w:rPr>
                <w:rFonts w:ascii="宋体" w:hAnsi="宋体" w:eastAsia="宋体" w:cs="宋体"/>
                <w:spacing w:val="-16"/>
                <w:sz w:val="24"/>
                <w:szCs w:val="24"/>
              </w:rPr>
            </w:pPr>
          </w:p>
          <w:p w14:paraId="78DB75E8">
            <w:pPr>
              <w:spacing w:before="38" w:line="220" w:lineRule="auto"/>
              <w:ind w:left="112"/>
              <w:rPr>
                <w:rFonts w:ascii="宋体" w:hAnsi="宋体" w:eastAsia="宋体" w:cs="宋体"/>
                <w:spacing w:val="-16"/>
                <w:sz w:val="24"/>
                <w:szCs w:val="24"/>
              </w:rPr>
            </w:pPr>
          </w:p>
          <w:p w14:paraId="3C72943E">
            <w:pPr>
              <w:spacing w:before="38" w:line="220" w:lineRule="auto"/>
              <w:ind w:left="112"/>
              <w:rPr>
                <w:rFonts w:ascii="宋体" w:hAnsi="宋体" w:eastAsia="宋体" w:cs="宋体"/>
                <w:spacing w:val="-16"/>
                <w:sz w:val="24"/>
                <w:szCs w:val="24"/>
              </w:rPr>
            </w:pPr>
          </w:p>
          <w:p w14:paraId="23EFB8A3">
            <w:pPr>
              <w:spacing w:before="38" w:line="220" w:lineRule="auto"/>
              <w:ind w:left="112"/>
              <w:rPr>
                <w:rFonts w:ascii="宋体" w:hAnsi="宋体" w:eastAsia="宋体" w:cs="宋体"/>
                <w:spacing w:val="-16"/>
                <w:sz w:val="24"/>
                <w:szCs w:val="24"/>
              </w:rPr>
            </w:pPr>
          </w:p>
          <w:p w14:paraId="4772535F">
            <w:pPr>
              <w:spacing w:before="38" w:line="220" w:lineRule="auto"/>
              <w:ind w:left="112"/>
              <w:rPr>
                <w:rFonts w:ascii="宋体" w:hAnsi="宋体" w:eastAsia="宋体" w:cs="宋体"/>
                <w:spacing w:val="-16"/>
                <w:sz w:val="24"/>
                <w:szCs w:val="24"/>
              </w:rPr>
            </w:pPr>
          </w:p>
          <w:p w14:paraId="3DC2FC59">
            <w:pPr>
              <w:spacing w:before="38" w:line="220" w:lineRule="auto"/>
              <w:ind w:left="112"/>
              <w:rPr>
                <w:rFonts w:ascii="宋体" w:hAnsi="宋体" w:eastAsia="宋体" w:cs="宋体"/>
                <w:spacing w:val="-16"/>
                <w:sz w:val="24"/>
                <w:szCs w:val="24"/>
              </w:rPr>
            </w:pPr>
          </w:p>
        </w:tc>
      </w:tr>
      <w:tr w14:paraId="1C3A1C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577" w:type="dxa"/>
            <w:vMerge w:val="continue"/>
            <w:tcBorders>
              <w:top w:val="nil"/>
            </w:tcBorders>
            <w:textDirection w:val="tbRlV"/>
            <w:vAlign w:val="top"/>
          </w:tcPr>
          <w:p w14:paraId="4F25E69D">
            <w:pPr>
              <w:pStyle w:val="7"/>
            </w:pPr>
          </w:p>
        </w:tc>
        <w:tc>
          <w:tcPr>
            <w:tcW w:w="4179" w:type="dxa"/>
            <w:tcBorders>
              <w:top w:val="nil"/>
              <w:right w:val="nil"/>
            </w:tcBorders>
            <w:vAlign w:val="top"/>
          </w:tcPr>
          <w:p w14:paraId="009F6BFD">
            <w:pPr>
              <w:pStyle w:val="7"/>
              <w:spacing w:line="278" w:lineRule="auto"/>
            </w:pPr>
          </w:p>
          <w:p w14:paraId="237CD614">
            <w:pPr>
              <w:pStyle w:val="7"/>
              <w:spacing w:line="278" w:lineRule="auto"/>
            </w:pPr>
          </w:p>
          <w:p w14:paraId="00AE0299">
            <w:pPr>
              <w:pStyle w:val="7"/>
              <w:spacing w:line="278" w:lineRule="auto"/>
            </w:pPr>
          </w:p>
          <w:p w14:paraId="004AA8C4">
            <w:pPr>
              <w:pStyle w:val="7"/>
              <w:spacing w:line="278" w:lineRule="auto"/>
            </w:pPr>
          </w:p>
          <w:p w14:paraId="5BA1864F">
            <w:pPr>
              <w:pStyle w:val="7"/>
              <w:spacing w:line="278" w:lineRule="auto"/>
            </w:pPr>
          </w:p>
          <w:p w14:paraId="76D0BFD6">
            <w:pPr>
              <w:spacing w:line="640" w:lineRule="exact"/>
              <w:ind w:firstLine="361"/>
            </w:pPr>
            <w:r>
              <w:rPr>
                <w:position w:val="-12"/>
              </w:rPr>
              <mc:AlternateContent>
                <mc:Choice Requires="wpg">
                  <w:drawing>
                    <wp:inline distT="0" distB="0" distL="114300" distR="114300">
                      <wp:extent cx="1495425" cy="406400"/>
                      <wp:effectExtent l="12700" t="0" r="15875" b="12700"/>
                      <wp:docPr id="7" name="组合 7"/>
                      <wp:cNvGraphicFramePr/>
                      <a:graphic xmlns:a="http://schemas.openxmlformats.org/drawingml/2006/main">
                        <a:graphicData uri="http://schemas.microsoft.com/office/word/2010/wordprocessingGroup">
                          <wpg:wgp>
                            <wpg:cNvGrpSpPr/>
                            <wpg:grpSpPr>
                              <a:xfrm>
                                <a:off x="0" y="0"/>
                                <a:ext cx="1495425" cy="406400"/>
                                <a:chOff x="0" y="0"/>
                                <a:chExt cx="2355" cy="640"/>
                              </a:xfrm>
                            </wpg:grpSpPr>
                            <pic:pic xmlns:pic="http://schemas.openxmlformats.org/drawingml/2006/picture">
                              <pic:nvPicPr>
                                <pic:cNvPr id="5" name="图片 6"/>
                                <pic:cNvPicPr>
                                  <a:picLocks noChangeAspect="1"/>
                                </pic:cNvPicPr>
                              </pic:nvPicPr>
                              <pic:blipFill>
                                <a:blip r:embed="rId22"/>
                                <a:stretch>
                                  <a:fillRect/>
                                </a:stretch>
                              </pic:blipFill>
                              <pic:spPr>
                                <a:xfrm>
                                  <a:off x="0" y="0"/>
                                  <a:ext cx="2355" cy="640"/>
                                </a:xfrm>
                                <a:prstGeom prst="rect">
                                  <a:avLst/>
                                </a:prstGeom>
                                <a:noFill/>
                                <a:ln>
                                  <a:noFill/>
                                </a:ln>
                              </pic:spPr>
                            </pic:pic>
                            <wps:wsp>
                              <wps:cNvPr id="6" name="文本框 6"/>
                              <wps:cNvSpPr txBox="1"/>
                              <wps:spPr>
                                <a:xfrm>
                                  <a:off x="-20" y="-20"/>
                                  <a:ext cx="2395" cy="680"/>
                                </a:xfrm>
                                <a:prstGeom prst="rect">
                                  <a:avLst/>
                                </a:prstGeom>
                                <a:noFill/>
                                <a:ln>
                                  <a:noFill/>
                                </a:ln>
                              </wps:spPr>
                              <wps:txbx>
                                <w:txbxContent>
                                  <w:p w14:paraId="7A7DB245">
                                    <w:pPr>
                                      <w:spacing w:before="144" w:line="219" w:lineRule="auto"/>
                                      <w:ind w:left="187"/>
                                      <w:rPr>
                                        <w:rFonts w:ascii="宋体" w:hAnsi="宋体" w:eastAsia="宋体" w:cs="宋体"/>
                                        <w:sz w:val="24"/>
                                        <w:szCs w:val="24"/>
                                      </w:rPr>
                                    </w:pPr>
                                    <w:r>
                                      <w:rPr>
                                        <w:rFonts w:ascii="宋体" w:hAnsi="宋体" w:eastAsia="宋体" w:cs="宋体"/>
                                        <w:spacing w:val="-9"/>
                                        <w:sz w:val="24"/>
                                        <w:szCs w:val="24"/>
                                      </w:rPr>
                                      <w:t>答辩论文成绩：</w:t>
                                    </w:r>
                                  </w:p>
                                </w:txbxContent>
                              </wps:txbx>
                              <wps:bodyPr lIns="0" tIns="0" rIns="0" bIns="0" upright="1"/>
                            </wps:wsp>
                          </wpg:wgp>
                        </a:graphicData>
                      </a:graphic>
                    </wp:inline>
                  </w:drawing>
                </mc:Choice>
                <mc:Fallback>
                  <w:pict>
                    <v:group id="_x0000_s1026" o:spid="_x0000_s1026" o:spt="203" style="height:32pt;width:117.75pt;" coordsize="2355,640" o:gfxdata="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">
                      <o:lock v:ext="edit" aspectratio="f"/>
                      <v:shape id="图片 6" o:spid="_x0000_s1026" o:spt="75" type="#_x0000_t75" style="position:absolute;left:0;top:0;height:640;width:2355;" filled="f" o:preferrelative="t" stroked="f" coordsize="21600,21600" o:gfxdata="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kxKEvQAA&#10;ANoAAAAPAAAAAAAAAAEAIAAAACIAAABkcnMvZG93bnJldi54bWxQSwECFAAUAAAACACHTuJAMy8F&#10;njsAAAA5AAAAEAAAAAAAAAABACAAAAAMAQAAZHJzL3NoYXBleG1sLnhtbFBLBQYAAAAABgAGAFsB&#10;AAC2AwAAAAA=&#10;">
                        <v:fill on="f" focussize="0,0"/>
                        <v:stroke on="f"/>
                        <v:imagedata r:id="rId22" o:title=""/>
                        <o:lock v:ext="edit" aspectratio="t"/>
                      </v:shape>
                      <v:shape id="_x0000_s1026" o:spid="_x0000_s1026" o:spt="202" type="#_x0000_t202" style="position:absolute;left:-20;top:-20;height:680;width:2395;" filled="f" stroked="f" coordsize="21600,21600" o:gfxdata="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nlsL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A7DB245">
                              <w:pPr>
                                <w:spacing w:before="144" w:line="219" w:lineRule="auto"/>
                                <w:ind w:left="187"/>
                                <w:rPr>
                                  <w:rFonts w:ascii="宋体" w:hAnsi="宋体" w:eastAsia="宋体" w:cs="宋体"/>
                                  <w:sz w:val="24"/>
                                  <w:szCs w:val="24"/>
                                </w:rPr>
                              </w:pPr>
                              <w:r>
                                <w:rPr>
                                  <w:rFonts w:ascii="宋体" w:hAnsi="宋体" w:eastAsia="宋体" w:cs="宋体"/>
                                  <w:spacing w:val="-9"/>
                                  <w:sz w:val="24"/>
                                  <w:szCs w:val="24"/>
                                </w:rPr>
                                <w:t>答辩论文成绩：</w:t>
                              </w:r>
                            </w:p>
                          </w:txbxContent>
                        </v:textbox>
                      </v:shape>
                      <w10:wrap type="none"/>
                      <w10:anchorlock/>
                    </v:group>
                  </w:pict>
                </mc:Fallback>
              </mc:AlternateContent>
            </w:r>
          </w:p>
        </w:tc>
        <w:tc>
          <w:tcPr>
            <w:tcW w:w="4536" w:type="dxa"/>
            <w:tcBorders>
              <w:top w:val="nil"/>
              <w:left w:val="nil"/>
            </w:tcBorders>
            <w:vAlign w:val="top"/>
          </w:tcPr>
          <w:p w14:paraId="7CB2784C">
            <w:pPr>
              <w:pStyle w:val="7"/>
              <w:spacing w:line="259" w:lineRule="auto"/>
            </w:pPr>
          </w:p>
          <w:p w14:paraId="370CBDD5">
            <w:pPr>
              <w:pStyle w:val="7"/>
              <w:spacing w:line="259" w:lineRule="auto"/>
            </w:pPr>
          </w:p>
          <w:p w14:paraId="46B733CC">
            <w:pPr>
              <w:pStyle w:val="7"/>
              <w:spacing w:line="259" w:lineRule="auto"/>
            </w:pPr>
          </w:p>
          <w:p w14:paraId="33F883B4">
            <w:pPr>
              <w:pStyle w:val="7"/>
              <w:spacing w:line="259" w:lineRule="auto"/>
            </w:pPr>
          </w:p>
          <w:p w14:paraId="2EF691C1">
            <w:pPr>
              <w:pStyle w:val="7"/>
              <w:spacing w:line="259" w:lineRule="auto"/>
            </w:pPr>
          </w:p>
          <w:p w14:paraId="08414563">
            <w:pPr>
              <w:pStyle w:val="7"/>
              <w:spacing w:line="259" w:lineRule="auto"/>
            </w:pPr>
          </w:p>
          <w:p w14:paraId="6F50CEC3">
            <w:pPr>
              <w:pStyle w:val="7"/>
              <w:spacing w:line="259" w:lineRule="auto"/>
            </w:pPr>
          </w:p>
          <w:p w14:paraId="467C2CFB">
            <w:pPr>
              <w:pStyle w:val="7"/>
              <w:spacing w:line="259" w:lineRule="auto"/>
            </w:pPr>
          </w:p>
          <w:p w14:paraId="6167470D">
            <w:pPr>
              <w:pStyle w:val="7"/>
              <w:spacing w:line="259" w:lineRule="auto"/>
            </w:pPr>
          </w:p>
          <w:p w14:paraId="22B9FA64">
            <w:pPr>
              <w:spacing w:before="78" w:line="219" w:lineRule="auto"/>
              <w:ind w:left="1186"/>
              <w:rPr>
                <w:rFonts w:ascii="宋体" w:hAnsi="宋体" w:eastAsia="宋体" w:cs="宋体"/>
                <w:sz w:val="24"/>
                <w:szCs w:val="24"/>
              </w:rPr>
            </w:pPr>
            <w:r>
              <w:rPr>
                <w:rFonts w:ascii="宋体" w:hAnsi="宋体" w:eastAsia="宋体" w:cs="宋体"/>
                <w:spacing w:val="-17"/>
                <w:sz w:val="24"/>
                <w:szCs w:val="24"/>
              </w:rPr>
              <w:t>答辩主持人（签名</w:t>
            </w:r>
            <w:r>
              <w:rPr>
                <w:rFonts w:ascii="宋体" w:hAnsi="宋体" w:eastAsia="宋体" w:cs="宋体"/>
                <w:spacing w:val="-6"/>
                <w:sz w:val="24"/>
                <w:szCs w:val="24"/>
              </w:rPr>
              <w:t>）：</w:t>
            </w:r>
          </w:p>
          <w:p w14:paraId="70244703">
            <w:pPr>
              <w:spacing w:before="26" w:line="208" w:lineRule="auto"/>
              <w:ind w:left="2778"/>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8"/>
                <w:sz w:val="24"/>
                <w:szCs w:val="24"/>
              </w:rPr>
              <w:t xml:space="preserve">   </w:t>
            </w:r>
            <w:r>
              <w:rPr>
                <w:rFonts w:ascii="宋体" w:hAnsi="宋体" w:eastAsia="宋体" w:cs="宋体"/>
                <w:spacing w:val="-9"/>
                <w:sz w:val="24"/>
                <w:szCs w:val="24"/>
              </w:rPr>
              <w:t>日</w:t>
            </w:r>
          </w:p>
        </w:tc>
      </w:tr>
    </w:tbl>
    <w:p w14:paraId="33D08B94">
      <w:pPr>
        <w:spacing w:line="313" w:lineRule="auto"/>
      </w:pPr>
    </w:p>
    <w:p w14:paraId="578991D1">
      <w:pPr>
        <w:spacing w:line="313" w:lineRule="auto"/>
      </w:pPr>
    </w:p>
    <w:p w14:paraId="79BD8CD2">
      <w:pPr>
        <w:spacing w:line="313" w:lineRule="auto"/>
      </w:pPr>
    </w:p>
    <w:p w14:paraId="4164E120">
      <w:pPr>
        <w:spacing w:line="313" w:lineRule="auto"/>
      </w:pPr>
    </w:p>
    <w:p w14:paraId="78A79D3C">
      <w:pPr>
        <w:pStyle w:val="2"/>
        <w:numPr>
          <w:ilvl w:val="0"/>
          <w:numId w:val="3"/>
        </w:numPr>
        <w:spacing w:before="219" w:line="219" w:lineRule="auto"/>
        <w:ind w:left="144"/>
        <w:rPr>
          <w:spacing w:val="-5"/>
          <w:sz w:val="24"/>
          <w:szCs w:val="24"/>
        </w:rPr>
      </w:pPr>
      <w:r>
        <w:rPr>
          <w:spacing w:val="-5"/>
          <w:sz w:val="24"/>
          <w:szCs w:val="24"/>
        </w:rPr>
        <w:t>审核意见</w:t>
      </w:r>
    </w:p>
    <w:p w14:paraId="367DADA6">
      <w:pPr>
        <w:pStyle w:val="2"/>
        <w:numPr>
          <w:ilvl w:val="0"/>
          <w:numId w:val="0"/>
        </w:numPr>
        <w:spacing w:before="219" w:line="219" w:lineRule="auto"/>
        <w:rPr>
          <w:spacing w:val="-5"/>
          <w:sz w:val="24"/>
          <w:szCs w:val="24"/>
        </w:rPr>
      </w:pPr>
    </w:p>
    <w:p w14:paraId="29B67940">
      <w:pPr>
        <w:spacing w:line="24" w:lineRule="exact"/>
      </w:pPr>
    </w:p>
    <w:tbl>
      <w:tblPr>
        <w:tblStyle w:val="6"/>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2"/>
        <w:gridCol w:w="3017"/>
        <w:gridCol w:w="5443"/>
      </w:tblGrid>
      <w:tr w14:paraId="523A6B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3" w:hRule="atLeast"/>
        </w:trPr>
        <w:tc>
          <w:tcPr>
            <w:tcW w:w="832" w:type="dxa"/>
            <w:vAlign w:val="top"/>
          </w:tcPr>
          <w:p w14:paraId="1D52D040">
            <w:pPr>
              <w:pStyle w:val="7"/>
              <w:spacing w:line="291" w:lineRule="auto"/>
            </w:pPr>
          </w:p>
          <w:p w14:paraId="3A003C3C">
            <w:pPr>
              <w:pStyle w:val="7"/>
              <w:spacing w:line="291" w:lineRule="auto"/>
            </w:pPr>
          </w:p>
          <w:p w14:paraId="732CF965">
            <w:pPr>
              <w:spacing w:before="78" w:line="220" w:lineRule="auto"/>
              <w:ind w:left="186"/>
              <w:rPr>
                <w:rFonts w:ascii="宋体" w:hAnsi="宋体" w:eastAsia="宋体" w:cs="宋体"/>
                <w:sz w:val="24"/>
                <w:szCs w:val="24"/>
              </w:rPr>
            </w:pPr>
            <w:r>
              <w:rPr>
                <w:rFonts w:ascii="宋体" w:hAnsi="宋体" w:eastAsia="宋体" w:cs="宋体"/>
                <w:spacing w:val="-4"/>
                <w:sz w:val="24"/>
                <w:szCs w:val="24"/>
              </w:rPr>
              <w:t>学院</w:t>
            </w:r>
          </w:p>
          <w:p w14:paraId="52ECD0C9">
            <w:pPr>
              <w:spacing w:before="194" w:line="220" w:lineRule="auto"/>
              <w:ind w:left="193"/>
              <w:rPr>
                <w:rFonts w:ascii="宋体" w:hAnsi="宋体" w:eastAsia="宋体" w:cs="宋体"/>
                <w:sz w:val="24"/>
                <w:szCs w:val="24"/>
              </w:rPr>
            </w:pPr>
            <w:r>
              <w:rPr>
                <w:rFonts w:ascii="宋体" w:hAnsi="宋体" w:eastAsia="宋体" w:cs="宋体"/>
                <w:spacing w:val="-8"/>
                <w:sz w:val="24"/>
                <w:szCs w:val="24"/>
              </w:rPr>
              <w:t>（分</w:t>
            </w:r>
          </w:p>
          <w:p w14:paraId="764203B5">
            <w:pPr>
              <w:spacing w:before="194" w:line="220" w:lineRule="auto"/>
              <w:ind w:left="182"/>
              <w:rPr>
                <w:rFonts w:ascii="宋体" w:hAnsi="宋体" w:eastAsia="宋体" w:cs="宋体"/>
                <w:sz w:val="24"/>
                <w:szCs w:val="24"/>
              </w:rPr>
            </w:pPr>
            <w:r>
              <w:rPr>
                <w:rFonts w:ascii="宋体" w:hAnsi="宋体" w:eastAsia="宋体" w:cs="宋体"/>
                <w:spacing w:val="-8"/>
                <w:sz w:val="24"/>
                <w:szCs w:val="24"/>
              </w:rPr>
              <w:t>校）</w:t>
            </w:r>
          </w:p>
          <w:p w14:paraId="610800CB">
            <w:pPr>
              <w:spacing w:before="194" w:line="219" w:lineRule="auto"/>
              <w:ind w:left="188"/>
              <w:rPr>
                <w:rFonts w:ascii="宋体" w:hAnsi="宋体" w:eastAsia="宋体" w:cs="宋体"/>
                <w:sz w:val="24"/>
                <w:szCs w:val="24"/>
              </w:rPr>
            </w:pPr>
            <w:r>
              <w:rPr>
                <w:rFonts w:ascii="宋体" w:hAnsi="宋体" w:eastAsia="宋体" w:cs="宋体"/>
                <w:spacing w:val="-4"/>
                <w:sz w:val="24"/>
                <w:szCs w:val="24"/>
              </w:rPr>
              <w:t>意见</w:t>
            </w:r>
          </w:p>
        </w:tc>
        <w:tc>
          <w:tcPr>
            <w:tcW w:w="8460" w:type="dxa"/>
            <w:gridSpan w:val="2"/>
            <w:vAlign w:val="top"/>
          </w:tcPr>
          <w:p w14:paraId="5A7C35BA">
            <w:pPr>
              <w:pStyle w:val="7"/>
              <w:spacing w:line="251" w:lineRule="auto"/>
            </w:pPr>
          </w:p>
          <w:p w14:paraId="73C92460">
            <w:pPr>
              <w:pStyle w:val="7"/>
              <w:spacing w:line="251" w:lineRule="auto"/>
            </w:pPr>
          </w:p>
          <w:p w14:paraId="3F0B1787">
            <w:pPr>
              <w:pStyle w:val="7"/>
              <w:spacing w:line="251" w:lineRule="auto"/>
            </w:pPr>
          </w:p>
          <w:p w14:paraId="35A76A26">
            <w:pPr>
              <w:pStyle w:val="7"/>
              <w:spacing w:line="252" w:lineRule="auto"/>
            </w:pPr>
          </w:p>
          <w:p w14:paraId="3DD0823C">
            <w:pPr>
              <w:pStyle w:val="7"/>
              <w:spacing w:line="252" w:lineRule="auto"/>
            </w:pPr>
          </w:p>
          <w:p w14:paraId="2FB9E009">
            <w:pPr>
              <w:pStyle w:val="7"/>
              <w:spacing w:line="252" w:lineRule="auto"/>
            </w:pPr>
          </w:p>
          <w:p w14:paraId="7FF902E4">
            <w:pPr>
              <w:pStyle w:val="7"/>
              <w:spacing w:line="252" w:lineRule="auto"/>
            </w:pPr>
          </w:p>
          <w:p w14:paraId="7397D65D">
            <w:pPr>
              <w:pStyle w:val="7"/>
              <w:spacing w:line="252" w:lineRule="auto"/>
            </w:pPr>
          </w:p>
          <w:p w14:paraId="7BF2CFFA">
            <w:pPr>
              <w:spacing w:before="78" w:line="219" w:lineRule="auto"/>
              <w:ind w:left="114"/>
              <w:rPr>
                <w:rFonts w:ascii="宋体" w:hAnsi="宋体" w:eastAsia="宋体" w:cs="宋体"/>
                <w:sz w:val="24"/>
                <w:szCs w:val="24"/>
              </w:rPr>
            </w:pPr>
            <w:r>
              <w:rPr>
                <w:rFonts w:ascii="宋体" w:hAnsi="宋体" w:eastAsia="宋体" w:cs="宋体"/>
                <w:spacing w:val="-11"/>
                <w:sz w:val="24"/>
                <w:szCs w:val="24"/>
              </w:rPr>
              <w:t>专业负责人（签名</w:t>
            </w:r>
            <w:r>
              <w:rPr>
                <w:rFonts w:ascii="宋体" w:hAnsi="宋体" w:eastAsia="宋体" w:cs="宋体"/>
                <w:spacing w:val="-5"/>
                <w:sz w:val="24"/>
                <w:szCs w:val="24"/>
              </w:rPr>
              <w:t>）：</w:t>
            </w:r>
            <w:r>
              <w:rPr>
                <w:rFonts w:ascii="宋体" w:hAnsi="宋体" w:eastAsia="宋体" w:cs="宋体"/>
                <w:spacing w:val="1"/>
                <w:sz w:val="24"/>
                <w:szCs w:val="24"/>
              </w:rPr>
              <w:t xml:space="preserve">                              </w:t>
            </w:r>
            <w:r>
              <w:rPr>
                <w:rFonts w:ascii="宋体" w:hAnsi="宋体" w:eastAsia="宋体" w:cs="宋体"/>
                <w:spacing w:val="-11"/>
                <w:sz w:val="24"/>
                <w:szCs w:val="24"/>
              </w:rPr>
              <w:t>负责部门公章</w:t>
            </w:r>
          </w:p>
          <w:p w14:paraId="709AD6E4">
            <w:pPr>
              <w:spacing w:before="196" w:line="219" w:lineRule="auto"/>
              <w:ind w:left="5888"/>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3"/>
                <w:sz w:val="24"/>
                <w:szCs w:val="24"/>
              </w:rPr>
              <w:t xml:space="preserve">    </w:t>
            </w:r>
            <w:r>
              <w:rPr>
                <w:rFonts w:ascii="宋体" w:hAnsi="宋体" w:eastAsia="宋体" w:cs="宋体"/>
                <w:spacing w:val="-9"/>
                <w:sz w:val="24"/>
                <w:szCs w:val="24"/>
              </w:rPr>
              <w:t>日</w:t>
            </w:r>
          </w:p>
        </w:tc>
      </w:tr>
      <w:tr w14:paraId="6060EF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3" w:hRule="atLeast"/>
        </w:trPr>
        <w:tc>
          <w:tcPr>
            <w:tcW w:w="832" w:type="dxa"/>
            <w:textDirection w:val="tbRlV"/>
            <w:vAlign w:val="top"/>
          </w:tcPr>
          <w:p w14:paraId="4D095CE6">
            <w:pPr>
              <w:spacing w:before="293" w:line="206" w:lineRule="auto"/>
              <w:ind w:left="1121"/>
              <w:jc w:val="center"/>
              <w:rPr>
                <w:rFonts w:ascii="宋体" w:hAnsi="宋体" w:eastAsia="宋体" w:cs="宋体"/>
                <w:sz w:val="24"/>
                <w:szCs w:val="24"/>
              </w:rPr>
            </w:pPr>
            <w:r>
              <w:rPr>
                <w:rFonts w:ascii="宋体" w:hAnsi="宋体" w:eastAsia="宋体" w:cs="宋体"/>
                <w:spacing w:val="-1"/>
                <w:sz w:val="24"/>
                <w:szCs w:val="24"/>
              </w:rPr>
              <w:t>分  部  复  审  意  见</w:t>
            </w:r>
          </w:p>
        </w:tc>
        <w:tc>
          <w:tcPr>
            <w:tcW w:w="8460" w:type="dxa"/>
            <w:gridSpan w:val="2"/>
            <w:vAlign w:val="top"/>
          </w:tcPr>
          <w:p w14:paraId="4445B6F5">
            <w:pPr>
              <w:pStyle w:val="7"/>
              <w:spacing w:line="245" w:lineRule="auto"/>
            </w:pPr>
          </w:p>
          <w:p w14:paraId="6F3CB43B">
            <w:pPr>
              <w:pStyle w:val="7"/>
              <w:spacing w:line="245" w:lineRule="auto"/>
            </w:pPr>
          </w:p>
          <w:p w14:paraId="1969F7E8">
            <w:pPr>
              <w:pStyle w:val="7"/>
              <w:spacing w:line="245" w:lineRule="auto"/>
            </w:pPr>
          </w:p>
          <w:p w14:paraId="6040933D">
            <w:pPr>
              <w:pStyle w:val="7"/>
              <w:tabs>
                <w:tab w:val="left" w:pos="2692"/>
              </w:tabs>
              <w:spacing w:line="246" w:lineRule="auto"/>
              <w:rPr>
                <w:rFonts w:hint="eastAsia" w:eastAsia="宋体"/>
                <w:lang w:eastAsia="zh-CN"/>
              </w:rPr>
            </w:pPr>
          </w:p>
          <w:p w14:paraId="00DC1DC1">
            <w:pPr>
              <w:pStyle w:val="7"/>
              <w:spacing w:line="246" w:lineRule="auto"/>
            </w:pPr>
          </w:p>
          <w:p w14:paraId="6D5A87F3">
            <w:pPr>
              <w:pStyle w:val="7"/>
              <w:spacing w:line="246" w:lineRule="auto"/>
            </w:pPr>
          </w:p>
          <w:p w14:paraId="19CB64A5">
            <w:pPr>
              <w:pStyle w:val="7"/>
              <w:spacing w:line="246" w:lineRule="auto"/>
            </w:pPr>
          </w:p>
          <w:p w14:paraId="6C0EFF08">
            <w:pPr>
              <w:spacing w:before="78" w:line="219" w:lineRule="auto"/>
              <w:ind w:left="114"/>
              <w:rPr>
                <w:rFonts w:ascii="宋体" w:hAnsi="宋体" w:eastAsia="宋体" w:cs="宋体"/>
                <w:sz w:val="24"/>
                <w:szCs w:val="24"/>
              </w:rPr>
            </w:pPr>
            <w:r>
              <w:rPr>
                <w:rFonts w:ascii="宋体" w:hAnsi="宋体" w:eastAsia="宋体" w:cs="宋体"/>
                <w:spacing w:val="-11"/>
                <w:sz w:val="24"/>
                <w:szCs w:val="24"/>
              </w:rPr>
              <w:t>专业负责人（签名</w:t>
            </w:r>
            <w:r>
              <w:rPr>
                <w:rFonts w:ascii="宋体" w:hAnsi="宋体" w:eastAsia="宋体" w:cs="宋体"/>
                <w:spacing w:val="-5"/>
                <w:sz w:val="24"/>
                <w:szCs w:val="24"/>
              </w:rPr>
              <w:t>）：</w:t>
            </w:r>
            <w:r>
              <w:rPr>
                <w:rFonts w:ascii="宋体" w:hAnsi="宋体" w:eastAsia="宋体" w:cs="宋体"/>
                <w:spacing w:val="1"/>
                <w:sz w:val="24"/>
                <w:szCs w:val="24"/>
              </w:rPr>
              <w:t xml:space="preserve">                              </w:t>
            </w:r>
            <w:r>
              <w:rPr>
                <w:rFonts w:ascii="宋体" w:hAnsi="宋体" w:eastAsia="宋体" w:cs="宋体"/>
                <w:spacing w:val="-11"/>
                <w:sz w:val="24"/>
                <w:szCs w:val="24"/>
              </w:rPr>
              <w:t>负责部门公章</w:t>
            </w:r>
          </w:p>
          <w:p w14:paraId="585F4C5E">
            <w:pPr>
              <w:pStyle w:val="7"/>
              <w:spacing w:line="297" w:lineRule="auto"/>
            </w:pPr>
          </w:p>
          <w:p w14:paraId="304BD6CE">
            <w:pPr>
              <w:pStyle w:val="7"/>
              <w:spacing w:line="297" w:lineRule="auto"/>
            </w:pPr>
          </w:p>
          <w:p w14:paraId="3E826DF5">
            <w:pPr>
              <w:spacing w:before="78" w:line="194" w:lineRule="auto"/>
              <w:ind w:left="593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3"/>
                <w:sz w:val="24"/>
                <w:szCs w:val="24"/>
              </w:rPr>
              <w:t xml:space="preserve">    </w:t>
            </w:r>
            <w:r>
              <w:rPr>
                <w:rFonts w:ascii="宋体" w:hAnsi="宋体" w:eastAsia="宋体" w:cs="宋体"/>
                <w:spacing w:val="-9"/>
                <w:sz w:val="24"/>
                <w:szCs w:val="24"/>
              </w:rPr>
              <w:t>日</w:t>
            </w:r>
          </w:p>
        </w:tc>
      </w:tr>
      <w:tr w14:paraId="263010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92" w:hRule="atLeast"/>
        </w:trPr>
        <w:tc>
          <w:tcPr>
            <w:tcW w:w="832" w:type="dxa"/>
            <w:vMerge w:val="restart"/>
            <w:tcBorders>
              <w:bottom w:val="nil"/>
            </w:tcBorders>
            <w:vAlign w:val="top"/>
          </w:tcPr>
          <w:p w14:paraId="59058EEA">
            <w:pPr>
              <w:pStyle w:val="7"/>
              <w:spacing w:line="243" w:lineRule="auto"/>
            </w:pPr>
          </w:p>
          <w:p w14:paraId="742605A1">
            <w:pPr>
              <w:pStyle w:val="7"/>
              <w:spacing w:line="243" w:lineRule="auto"/>
            </w:pPr>
          </w:p>
          <w:p w14:paraId="07D8867B">
            <w:pPr>
              <w:pStyle w:val="7"/>
              <w:spacing w:line="243" w:lineRule="auto"/>
            </w:pPr>
          </w:p>
          <w:p w14:paraId="76C58825">
            <w:pPr>
              <w:pStyle w:val="7"/>
              <w:spacing w:line="244" w:lineRule="auto"/>
            </w:pPr>
          </w:p>
          <w:p w14:paraId="6D4C3FCD">
            <w:pPr>
              <w:spacing w:before="78" w:line="221" w:lineRule="auto"/>
              <w:ind w:left="186"/>
              <w:rPr>
                <w:rFonts w:ascii="宋体" w:hAnsi="宋体" w:eastAsia="宋体" w:cs="宋体"/>
                <w:sz w:val="24"/>
                <w:szCs w:val="24"/>
              </w:rPr>
            </w:pPr>
            <w:r>
              <w:rPr>
                <w:rFonts w:ascii="宋体" w:hAnsi="宋体" w:eastAsia="宋体" w:cs="宋体"/>
                <w:spacing w:val="-4"/>
                <w:sz w:val="24"/>
                <w:szCs w:val="24"/>
              </w:rPr>
              <w:t>学位</w:t>
            </w:r>
          </w:p>
          <w:p w14:paraId="3464D577">
            <w:pPr>
              <w:spacing w:before="193" w:line="220" w:lineRule="auto"/>
              <w:ind w:left="180"/>
              <w:rPr>
                <w:rFonts w:ascii="宋体" w:hAnsi="宋体" w:eastAsia="宋体" w:cs="宋体"/>
                <w:sz w:val="24"/>
                <w:szCs w:val="24"/>
              </w:rPr>
            </w:pPr>
            <w:r>
              <w:rPr>
                <w:rFonts w:ascii="宋体" w:hAnsi="宋体" w:eastAsia="宋体" w:cs="宋体"/>
                <w:spacing w:val="-3"/>
                <w:sz w:val="24"/>
                <w:szCs w:val="24"/>
              </w:rPr>
              <w:t>评定</w:t>
            </w:r>
          </w:p>
          <w:p w14:paraId="1AA57FBE">
            <w:pPr>
              <w:spacing w:before="194" w:line="220" w:lineRule="auto"/>
              <w:ind w:left="184"/>
              <w:rPr>
                <w:rFonts w:ascii="宋体" w:hAnsi="宋体" w:eastAsia="宋体" w:cs="宋体"/>
                <w:sz w:val="24"/>
                <w:szCs w:val="24"/>
              </w:rPr>
            </w:pPr>
            <w:r>
              <w:rPr>
                <w:rFonts w:ascii="宋体" w:hAnsi="宋体" w:eastAsia="宋体" w:cs="宋体"/>
                <w:spacing w:val="-4"/>
                <w:sz w:val="24"/>
                <w:szCs w:val="24"/>
              </w:rPr>
              <w:t>分委</w:t>
            </w:r>
          </w:p>
          <w:p w14:paraId="5466EBCC">
            <w:pPr>
              <w:spacing w:before="193" w:line="219" w:lineRule="auto"/>
              <w:ind w:left="191"/>
              <w:rPr>
                <w:rFonts w:ascii="宋体" w:hAnsi="宋体" w:eastAsia="宋体" w:cs="宋体"/>
                <w:sz w:val="24"/>
                <w:szCs w:val="24"/>
              </w:rPr>
            </w:pPr>
            <w:r>
              <w:rPr>
                <w:rFonts w:ascii="宋体" w:hAnsi="宋体" w:eastAsia="宋体" w:cs="宋体"/>
                <w:spacing w:val="-5"/>
                <w:sz w:val="24"/>
                <w:szCs w:val="24"/>
              </w:rPr>
              <w:t>员会</w:t>
            </w:r>
          </w:p>
          <w:p w14:paraId="07BB9FC3">
            <w:pPr>
              <w:spacing w:before="195" w:line="220" w:lineRule="auto"/>
              <w:ind w:left="185"/>
              <w:rPr>
                <w:rFonts w:ascii="宋体" w:hAnsi="宋体" w:eastAsia="宋体" w:cs="宋体"/>
                <w:sz w:val="24"/>
                <w:szCs w:val="24"/>
              </w:rPr>
            </w:pPr>
            <w:r>
              <w:rPr>
                <w:rFonts w:ascii="宋体" w:hAnsi="宋体" w:eastAsia="宋体" w:cs="宋体"/>
                <w:spacing w:val="-4"/>
                <w:sz w:val="24"/>
                <w:szCs w:val="24"/>
              </w:rPr>
              <w:t>终审</w:t>
            </w:r>
          </w:p>
          <w:p w14:paraId="306B85DD">
            <w:pPr>
              <w:spacing w:before="194" w:line="219" w:lineRule="auto"/>
              <w:ind w:left="188"/>
              <w:rPr>
                <w:rFonts w:ascii="宋体" w:hAnsi="宋体" w:eastAsia="宋体" w:cs="宋体"/>
                <w:sz w:val="24"/>
                <w:szCs w:val="24"/>
              </w:rPr>
            </w:pPr>
            <w:r>
              <w:rPr>
                <w:rFonts w:ascii="宋体" w:hAnsi="宋体" w:eastAsia="宋体" w:cs="宋体"/>
                <w:spacing w:val="-4"/>
                <w:sz w:val="24"/>
                <w:szCs w:val="24"/>
              </w:rPr>
              <w:t>意见</w:t>
            </w:r>
          </w:p>
        </w:tc>
        <w:tc>
          <w:tcPr>
            <w:tcW w:w="8460" w:type="dxa"/>
            <w:gridSpan w:val="2"/>
            <w:tcBorders>
              <w:bottom w:val="nil"/>
            </w:tcBorders>
            <w:vAlign w:val="top"/>
          </w:tcPr>
          <w:p w14:paraId="32414F23">
            <w:pPr>
              <w:pStyle w:val="7"/>
              <w:spacing w:line="413" w:lineRule="auto"/>
            </w:pPr>
          </w:p>
          <w:p w14:paraId="5CD8D369">
            <w:pPr>
              <w:spacing w:before="78" w:line="219" w:lineRule="auto"/>
              <w:ind w:left="125"/>
              <w:rPr>
                <w:rFonts w:ascii="宋体" w:hAnsi="宋体" w:eastAsia="宋体" w:cs="宋体"/>
                <w:sz w:val="24"/>
                <w:szCs w:val="24"/>
              </w:rPr>
            </w:pPr>
            <w:r>
              <w:rPr>
                <w:rFonts w:ascii="宋体" w:hAnsi="宋体" w:eastAsia="宋体" w:cs="宋体"/>
                <w:spacing w:val="-14"/>
                <w:sz w:val="24"/>
                <w:szCs w:val="24"/>
              </w:rPr>
              <w:t>审核意见：</w:t>
            </w:r>
          </w:p>
        </w:tc>
      </w:tr>
      <w:tr w14:paraId="21F5A9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8" w:hRule="atLeast"/>
        </w:trPr>
        <w:tc>
          <w:tcPr>
            <w:tcW w:w="832" w:type="dxa"/>
            <w:vMerge w:val="continue"/>
            <w:tcBorders>
              <w:top w:val="nil"/>
              <w:bottom w:val="nil"/>
            </w:tcBorders>
            <w:vAlign w:val="top"/>
          </w:tcPr>
          <w:p w14:paraId="4B276F2E">
            <w:pPr>
              <w:pStyle w:val="7"/>
            </w:pPr>
          </w:p>
        </w:tc>
        <w:tc>
          <w:tcPr>
            <w:tcW w:w="3017" w:type="dxa"/>
            <w:tcBorders>
              <w:top w:val="nil"/>
              <w:bottom w:val="nil"/>
              <w:right w:val="nil"/>
            </w:tcBorders>
            <w:vAlign w:val="top"/>
          </w:tcPr>
          <w:p w14:paraId="020C1458">
            <w:pPr>
              <w:pStyle w:val="7"/>
              <w:spacing w:line="282" w:lineRule="auto"/>
            </w:pPr>
          </w:p>
          <w:p w14:paraId="21E1B70B">
            <w:pPr>
              <w:pStyle w:val="7"/>
              <w:spacing w:line="282" w:lineRule="auto"/>
            </w:pPr>
          </w:p>
          <w:p w14:paraId="398CC605">
            <w:pPr>
              <w:pStyle w:val="7"/>
              <w:spacing w:line="283" w:lineRule="auto"/>
            </w:pPr>
          </w:p>
          <w:p w14:paraId="1EB494F2">
            <w:pPr>
              <w:pStyle w:val="7"/>
              <w:spacing w:line="283" w:lineRule="auto"/>
            </w:pPr>
          </w:p>
          <w:p w14:paraId="7FC9169A">
            <w:pPr>
              <w:spacing w:line="640" w:lineRule="exact"/>
              <w:ind w:firstLine="315"/>
            </w:pPr>
            <w:r>
              <w:rPr>
                <w:position w:val="-12"/>
              </w:rPr>
              <mc:AlternateContent>
                <mc:Choice Requires="wpg">
                  <w:drawing>
                    <wp:inline distT="0" distB="0" distL="114300" distR="114300">
                      <wp:extent cx="1495425" cy="406400"/>
                      <wp:effectExtent l="12700" t="0" r="15875" b="12700"/>
                      <wp:docPr id="10" name="组合 10"/>
                      <wp:cNvGraphicFramePr/>
                      <a:graphic xmlns:a="http://schemas.openxmlformats.org/drawingml/2006/main">
                        <a:graphicData uri="http://schemas.microsoft.com/office/word/2010/wordprocessingGroup">
                          <wpg:wgp>
                            <wpg:cNvGrpSpPr/>
                            <wpg:grpSpPr>
                              <a:xfrm>
                                <a:off x="0" y="0"/>
                                <a:ext cx="1495425" cy="406400"/>
                                <a:chOff x="0" y="0"/>
                                <a:chExt cx="2355" cy="640"/>
                              </a:xfrm>
                            </wpg:grpSpPr>
                            <pic:pic xmlns:pic="http://schemas.openxmlformats.org/drawingml/2006/picture">
                              <pic:nvPicPr>
                                <pic:cNvPr id="8" name="图片 9"/>
                                <pic:cNvPicPr>
                                  <a:picLocks noChangeAspect="1"/>
                                </pic:cNvPicPr>
                              </pic:nvPicPr>
                              <pic:blipFill>
                                <a:blip r:embed="rId23"/>
                                <a:stretch>
                                  <a:fillRect/>
                                </a:stretch>
                              </pic:blipFill>
                              <pic:spPr>
                                <a:xfrm>
                                  <a:off x="0" y="0"/>
                                  <a:ext cx="2355" cy="640"/>
                                </a:xfrm>
                                <a:prstGeom prst="rect">
                                  <a:avLst/>
                                </a:prstGeom>
                                <a:noFill/>
                                <a:ln>
                                  <a:noFill/>
                                </a:ln>
                              </pic:spPr>
                            </pic:pic>
                            <wps:wsp>
                              <wps:cNvPr id="9" name="文本框 9"/>
                              <wps:cNvSpPr txBox="1"/>
                              <wps:spPr>
                                <a:xfrm>
                                  <a:off x="-20" y="-20"/>
                                  <a:ext cx="2395" cy="680"/>
                                </a:xfrm>
                                <a:prstGeom prst="rect">
                                  <a:avLst/>
                                </a:prstGeom>
                                <a:noFill/>
                                <a:ln>
                                  <a:noFill/>
                                </a:ln>
                              </wps:spPr>
                              <wps:txbx>
                                <w:txbxContent>
                                  <w:p w14:paraId="4852BFBB">
                                    <w:pPr>
                                      <w:spacing w:before="144" w:line="220" w:lineRule="auto"/>
                                      <w:ind w:left="193"/>
                                      <w:rPr>
                                        <w:rFonts w:ascii="宋体" w:hAnsi="宋体" w:eastAsia="宋体" w:cs="宋体"/>
                                        <w:sz w:val="24"/>
                                        <w:szCs w:val="24"/>
                                      </w:rPr>
                                    </w:pPr>
                                    <w:r>
                                      <w:rPr>
                                        <w:rFonts w:ascii="宋体" w:hAnsi="宋体" w:eastAsia="宋体" w:cs="宋体"/>
                                        <w:spacing w:val="-12"/>
                                        <w:sz w:val="24"/>
                                        <w:szCs w:val="24"/>
                                      </w:rPr>
                                      <w:t>终审成绩：</w:t>
                                    </w:r>
                                  </w:p>
                                </w:txbxContent>
                              </wps:txbx>
                              <wps:bodyPr lIns="0" tIns="0" rIns="0" bIns="0" upright="1"/>
                            </wps:wsp>
                          </wpg:wgp>
                        </a:graphicData>
                      </a:graphic>
                    </wp:inline>
                  </w:drawing>
                </mc:Choice>
                <mc:Fallback>
                  <w:pict>
                    <v:group id="_x0000_s1026" o:spid="_x0000_s1026" o:spt="203" style="height:32pt;width:117.75pt;" coordsize="2355,640" o:gfxdata="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">
                      <o:lock v:ext="edit" aspectratio="f"/>
                      <v:shape id="图片 9" o:spid="_x0000_s1026" o:spt="75" type="#_x0000_t75" style="position:absolute;left:0;top:0;height:640;width:2355;" filled="f" o:preferrelative="t" stroked="f" coordsize="21600,21600" o:gfxdata="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T2jRG5AAAA2gAA&#10;AA8AAAAAAAAAAQAgAAAAIgAAAGRycy9kb3ducmV2LnhtbFBLAQIUABQAAAAIAIdO4kAzLwWeOwAA&#10;ADkAAAAQAAAAAAAAAAEAIAAAAAgBAABkcnMvc2hhcGV4bWwueG1sUEsFBgAAAAAGAAYAWwEAALID&#10;AAAAAA==&#10;">
                        <v:fill on="f" focussize="0,0"/>
                        <v:stroke on="f"/>
                        <v:imagedata r:id="rId23" o:title=""/>
                        <o:lock v:ext="edit" aspectratio="t"/>
                      </v:shape>
                      <v:shape id="_x0000_s1026" o:spid="_x0000_s1026" o:spt="202" type="#_x0000_t202" style="position:absolute;left:-20;top:-20;height:680;width:2395;" filled="f" stroked="f" coordsize="21600,21600" o:gfxdata="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Ac95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4852BFBB">
                              <w:pPr>
                                <w:spacing w:before="144" w:line="220" w:lineRule="auto"/>
                                <w:ind w:left="193"/>
                                <w:rPr>
                                  <w:rFonts w:ascii="宋体" w:hAnsi="宋体" w:eastAsia="宋体" w:cs="宋体"/>
                                  <w:sz w:val="24"/>
                                  <w:szCs w:val="24"/>
                                </w:rPr>
                              </w:pPr>
                              <w:r>
                                <w:rPr>
                                  <w:rFonts w:ascii="宋体" w:hAnsi="宋体" w:eastAsia="宋体" w:cs="宋体"/>
                                  <w:spacing w:val="-12"/>
                                  <w:sz w:val="24"/>
                                  <w:szCs w:val="24"/>
                                </w:rPr>
                                <w:t>终审成绩：</w:t>
                              </w:r>
                            </w:p>
                          </w:txbxContent>
                        </v:textbox>
                      </v:shape>
                      <w10:wrap type="none"/>
                      <w10:anchorlock/>
                    </v:group>
                  </w:pict>
                </mc:Fallback>
              </mc:AlternateContent>
            </w:r>
          </w:p>
        </w:tc>
        <w:tc>
          <w:tcPr>
            <w:tcW w:w="5443" w:type="dxa"/>
            <w:tcBorders>
              <w:top w:val="nil"/>
              <w:left w:val="nil"/>
              <w:bottom w:val="nil"/>
            </w:tcBorders>
            <w:vAlign w:val="top"/>
          </w:tcPr>
          <w:p w14:paraId="6CA920AB">
            <w:pPr>
              <w:pStyle w:val="7"/>
              <w:spacing w:line="271" w:lineRule="auto"/>
            </w:pPr>
          </w:p>
          <w:p w14:paraId="1FA2A292">
            <w:pPr>
              <w:pStyle w:val="7"/>
              <w:spacing w:line="271" w:lineRule="auto"/>
            </w:pPr>
          </w:p>
          <w:p w14:paraId="13FCB7E1">
            <w:pPr>
              <w:pStyle w:val="7"/>
              <w:spacing w:line="271" w:lineRule="auto"/>
            </w:pPr>
          </w:p>
          <w:p w14:paraId="21E5B473">
            <w:pPr>
              <w:pStyle w:val="7"/>
              <w:spacing w:line="272" w:lineRule="auto"/>
            </w:pPr>
          </w:p>
          <w:p w14:paraId="117DAFFB">
            <w:pPr>
              <w:pStyle w:val="7"/>
              <w:spacing w:line="272" w:lineRule="auto"/>
            </w:pPr>
          </w:p>
          <w:p w14:paraId="21EEA67E">
            <w:pPr>
              <w:pStyle w:val="7"/>
              <w:spacing w:line="272" w:lineRule="auto"/>
            </w:pPr>
          </w:p>
          <w:p w14:paraId="7C83178F">
            <w:pPr>
              <w:pStyle w:val="7"/>
              <w:spacing w:line="272" w:lineRule="auto"/>
            </w:pPr>
          </w:p>
          <w:p w14:paraId="2AD73E0C">
            <w:pPr>
              <w:spacing w:before="78" w:line="219" w:lineRule="auto"/>
              <w:ind w:left="343"/>
              <w:rPr>
                <w:rFonts w:ascii="宋体" w:hAnsi="宋体" w:eastAsia="宋体" w:cs="宋体"/>
                <w:sz w:val="24"/>
                <w:szCs w:val="24"/>
              </w:rPr>
            </w:pPr>
            <w:r>
              <w:rPr>
                <w:rFonts w:ascii="宋体" w:hAnsi="宋体" w:eastAsia="宋体" w:cs="宋体"/>
                <w:spacing w:val="-11"/>
                <w:sz w:val="24"/>
                <w:szCs w:val="24"/>
              </w:rPr>
              <w:t>学位评定分委员会主席（签名</w:t>
            </w:r>
            <w:r>
              <w:rPr>
                <w:rFonts w:ascii="宋体" w:hAnsi="宋体" w:eastAsia="宋体" w:cs="宋体"/>
                <w:spacing w:val="-5"/>
                <w:sz w:val="24"/>
                <w:szCs w:val="24"/>
              </w:rPr>
              <w:t>）：</w:t>
            </w:r>
          </w:p>
          <w:p w14:paraId="3A752F38">
            <w:pPr>
              <w:spacing w:before="196" w:line="219" w:lineRule="auto"/>
              <w:ind w:left="3423"/>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3"/>
                <w:sz w:val="24"/>
                <w:szCs w:val="24"/>
              </w:rPr>
              <w:t xml:space="preserve">    </w:t>
            </w:r>
            <w:r>
              <w:rPr>
                <w:rFonts w:ascii="宋体" w:hAnsi="宋体" w:eastAsia="宋体" w:cs="宋体"/>
                <w:spacing w:val="-9"/>
                <w:sz w:val="24"/>
                <w:szCs w:val="24"/>
              </w:rPr>
              <w:t>日</w:t>
            </w:r>
          </w:p>
        </w:tc>
      </w:tr>
      <w:tr w14:paraId="313FE3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 w:hRule="atLeast"/>
        </w:trPr>
        <w:tc>
          <w:tcPr>
            <w:tcW w:w="832" w:type="dxa"/>
            <w:tcBorders>
              <w:top w:val="nil"/>
            </w:tcBorders>
            <w:vAlign w:val="top"/>
          </w:tcPr>
          <w:p w14:paraId="398A8FB5">
            <w:pPr>
              <w:pStyle w:val="7"/>
            </w:pPr>
          </w:p>
        </w:tc>
        <w:tc>
          <w:tcPr>
            <w:tcW w:w="3017" w:type="dxa"/>
            <w:tcBorders>
              <w:top w:val="nil"/>
              <w:right w:val="nil"/>
            </w:tcBorders>
            <w:vAlign w:val="top"/>
          </w:tcPr>
          <w:p w14:paraId="45422D60">
            <w:pPr>
              <w:spacing w:line="640" w:lineRule="exact"/>
              <w:ind w:firstLine="315"/>
              <w:rPr>
                <w:position w:val="-12"/>
              </w:rPr>
            </w:pPr>
          </w:p>
        </w:tc>
        <w:tc>
          <w:tcPr>
            <w:tcW w:w="5443" w:type="dxa"/>
            <w:tcBorders>
              <w:top w:val="nil"/>
              <w:left w:val="nil"/>
            </w:tcBorders>
            <w:vAlign w:val="top"/>
          </w:tcPr>
          <w:p w14:paraId="5B5D5B0D">
            <w:pPr>
              <w:spacing w:before="196" w:line="219" w:lineRule="auto"/>
              <w:ind w:left="3423"/>
              <w:rPr>
                <w:rFonts w:ascii="宋体" w:hAnsi="宋体" w:eastAsia="宋体" w:cs="宋体"/>
                <w:spacing w:val="-9"/>
                <w:sz w:val="24"/>
                <w:szCs w:val="24"/>
              </w:rPr>
            </w:pPr>
          </w:p>
        </w:tc>
      </w:tr>
    </w:tbl>
    <w:p w14:paraId="1D3417ED"/>
    <w:p w14:paraId="0747AAFC"/>
    <w:p w14:paraId="13770F5D"/>
    <w:p w14:paraId="13396285">
      <w:pPr>
        <w:pStyle w:val="2"/>
        <w:spacing w:before="205" w:line="220" w:lineRule="auto"/>
        <w:jc w:val="left"/>
        <w:rPr>
          <w:rFonts w:hint="eastAsia"/>
          <w:b/>
          <w:bCs/>
          <w:spacing w:val="-5"/>
          <w:lang w:val="en-US" w:eastAsia="zh-CN"/>
        </w:rPr>
      </w:pPr>
    </w:p>
    <w:p w14:paraId="7B06CA24">
      <w:pPr>
        <w:pStyle w:val="2"/>
        <w:spacing w:before="205" w:line="220" w:lineRule="auto"/>
        <w:jc w:val="left"/>
        <w:rPr>
          <w:rFonts w:hint="default" w:eastAsia="宋体"/>
          <w:b/>
          <w:bCs/>
          <w:spacing w:val="-5"/>
          <w:lang w:val="en-US" w:eastAsia="zh-CN"/>
        </w:rPr>
      </w:pPr>
      <w:r>
        <w:rPr>
          <w:rFonts w:hint="eastAsia"/>
          <w:b/>
          <w:bCs/>
          <w:spacing w:val="-5"/>
          <w:lang w:val="en-US" w:eastAsia="zh-CN"/>
        </w:rPr>
        <w:t>附录4</w:t>
      </w:r>
    </w:p>
    <w:p w14:paraId="23620529">
      <w:pPr>
        <w:pStyle w:val="2"/>
        <w:spacing w:before="205" w:line="220" w:lineRule="auto"/>
        <w:jc w:val="center"/>
      </w:pPr>
      <w:r>
        <w:rPr>
          <w:b/>
          <w:bCs/>
          <w:spacing w:val="-5"/>
        </w:rPr>
        <w:t>国家开放大学毕业论文成绩评分标准</w:t>
      </w:r>
    </w:p>
    <w:p w14:paraId="4C2C13B7">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毕业论文评审成绩结果分为5级层次：优秀、良好、中等、及格、不及格</w:t>
      </w:r>
      <w:r>
        <w:rPr>
          <w:rFonts w:hint="eastAsia"/>
          <w:sz w:val="24"/>
          <w:szCs w:val="24"/>
          <w:lang w:eastAsia="zh-CN"/>
        </w:rPr>
        <w:t>。</w:t>
      </w:r>
      <w:r>
        <w:rPr>
          <w:sz w:val="24"/>
          <w:szCs w:val="24"/>
        </w:rPr>
        <w:t>指导教师或答辩小组根据以下标准进行评审后，给出论文成绩</w:t>
      </w:r>
      <w:r>
        <w:rPr>
          <w:rFonts w:hint="eastAsia"/>
          <w:sz w:val="24"/>
          <w:szCs w:val="24"/>
          <w:lang w:eastAsia="zh-CN"/>
        </w:rPr>
        <w:t>。</w:t>
      </w:r>
    </w:p>
    <w:p w14:paraId="5A4E18C7">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2" w:firstLineChars="200"/>
        <w:jc w:val="both"/>
        <w:textAlignment w:val="baseline"/>
        <w:rPr>
          <w:b/>
          <w:bCs/>
          <w:sz w:val="24"/>
          <w:szCs w:val="24"/>
        </w:rPr>
      </w:pPr>
      <w:r>
        <w:rPr>
          <w:b/>
          <w:bCs/>
          <w:sz w:val="24"/>
          <w:szCs w:val="24"/>
        </w:rPr>
        <w:t>（一）优秀(90～100分)</w:t>
      </w:r>
    </w:p>
    <w:p w14:paraId="59D128BC">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1.符合论文写作要求，选题具有较强的实用性、创新性、科学性、可行性和专业性；</w:t>
      </w:r>
    </w:p>
    <w:p w14:paraId="2857FE50">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2.分析研究方法正确，方案设计合理，能正确、灵活地综合运用专业基础理论、基础知识分析和解决问题</w:t>
      </w:r>
      <w:r>
        <w:rPr>
          <w:rFonts w:hint="eastAsia"/>
          <w:sz w:val="24"/>
          <w:szCs w:val="24"/>
          <w:lang w:eastAsia="zh-CN"/>
        </w:rPr>
        <w:t>。</w:t>
      </w:r>
    </w:p>
    <w:p w14:paraId="4C84420B">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3.论文的观点鲜明、正确，有独到见解和创新，材料详实、充分，数据完整</w:t>
      </w:r>
      <w:r>
        <w:rPr>
          <w:rFonts w:hint="eastAsia"/>
          <w:sz w:val="24"/>
          <w:szCs w:val="24"/>
          <w:lang w:eastAsia="zh-CN"/>
        </w:rPr>
        <w:t>、</w:t>
      </w:r>
      <w:r>
        <w:rPr>
          <w:sz w:val="24"/>
          <w:szCs w:val="24"/>
        </w:rPr>
        <w:t>可靠，论证有力、充足，层次分明、逻辑清楚、结构完整、语句通顺、格式规范</w:t>
      </w:r>
      <w:r>
        <w:rPr>
          <w:rFonts w:hint="eastAsia"/>
          <w:sz w:val="24"/>
          <w:szCs w:val="24"/>
          <w:lang w:eastAsia="zh-CN"/>
        </w:rPr>
        <w:t>，</w:t>
      </w:r>
      <w:r>
        <w:rPr>
          <w:sz w:val="24"/>
          <w:szCs w:val="24"/>
        </w:rPr>
        <w:t>文字材料所必须的附件齐全</w:t>
      </w:r>
      <w:r>
        <w:rPr>
          <w:rFonts w:hint="eastAsia"/>
          <w:sz w:val="24"/>
          <w:szCs w:val="24"/>
          <w:lang w:eastAsia="zh-CN"/>
        </w:rPr>
        <w:t>。</w:t>
      </w:r>
    </w:p>
    <w:p w14:paraId="3D550105">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4.满足专业要求的文字材料写作篇幅，无明显文字错误，论文形式完全符合要求。</w:t>
      </w:r>
    </w:p>
    <w:p w14:paraId="21D9AE0C">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2" w:firstLineChars="200"/>
        <w:jc w:val="both"/>
        <w:textAlignment w:val="baseline"/>
        <w:rPr>
          <w:b/>
          <w:bCs/>
          <w:sz w:val="24"/>
          <w:szCs w:val="24"/>
        </w:rPr>
      </w:pPr>
      <w:r>
        <w:rPr>
          <w:b/>
          <w:bCs/>
          <w:sz w:val="24"/>
          <w:szCs w:val="24"/>
        </w:rPr>
        <w:t>（二） 良好（80～89分）</w:t>
      </w:r>
    </w:p>
    <w:p w14:paraId="52BB6767">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1.符合论文写作要求，选题适当，有一定的实用性、科学性、专业性和可行性</w:t>
      </w:r>
      <w:r>
        <w:rPr>
          <w:rFonts w:hint="eastAsia"/>
          <w:sz w:val="24"/>
          <w:szCs w:val="24"/>
          <w:lang w:eastAsia="zh-CN"/>
        </w:rPr>
        <w:t>。</w:t>
      </w:r>
    </w:p>
    <w:p w14:paraId="494D57A6">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2.分析研究方法正确，能综合运用专业基础理论、基础知识分析和解决问题</w:t>
      </w:r>
      <w:r>
        <w:rPr>
          <w:rFonts w:hint="eastAsia"/>
          <w:sz w:val="24"/>
          <w:szCs w:val="24"/>
          <w:lang w:eastAsia="zh-CN"/>
        </w:rPr>
        <w:t>。</w:t>
      </w:r>
    </w:p>
    <w:p w14:paraId="46D2DB00">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3.论文的观点正确，材料充分，数据可靠，论证比较有力，逻辑性比较强，结构完整，语句通顺，条理清楚，格式规范，文字材料所必需的附件齐全</w:t>
      </w:r>
      <w:r>
        <w:rPr>
          <w:rFonts w:hint="eastAsia"/>
          <w:sz w:val="24"/>
          <w:szCs w:val="24"/>
          <w:lang w:eastAsia="zh-CN"/>
        </w:rPr>
        <w:t>。</w:t>
      </w:r>
    </w:p>
    <w:p w14:paraId="225D1301">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4.满足专业要求的文字材料写作篇幅，无明显文字错误，论文形式符合要求</w:t>
      </w:r>
      <w:r>
        <w:rPr>
          <w:rFonts w:hint="eastAsia"/>
          <w:sz w:val="24"/>
          <w:szCs w:val="24"/>
          <w:lang w:eastAsia="zh-CN"/>
        </w:rPr>
        <w:t>。</w:t>
      </w:r>
    </w:p>
    <w:p w14:paraId="2030098E">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2" w:firstLineChars="200"/>
        <w:jc w:val="both"/>
        <w:textAlignment w:val="baseline"/>
        <w:rPr>
          <w:b/>
          <w:bCs/>
          <w:sz w:val="24"/>
          <w:szCs w:val="24"/>
        </w:rPr>
      </w:pPr>
      <w:r>
        <w:rPr>
          <w:b/>
          <w:bCs/>
          <w:sz w:val="24"/>
          <w:szCs w:val="24"/>
        </w:rPr>
        <w:t>（三）中等（70～79分）</w:t>
      </w:r>
    </w:p>
    <w:p w14:paraId="01FAA848">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1.基本符合论文写作要求，选题的应用性和实用性不强</w:t>
      </w:r>
      <w:r>
        <w:rPr>
          <w:rFonts w:hint="eastAsia"/>
          <w:sz w:val="24"/>
          <w:szCs w:val="24"/>
          <w:lang w:eastAsia="zh-CN"/>
        </w:rPr>
        <w:t>。</w:t>
      </w:r>
    </w:p>
    <w:p w14:paraId="51A4A2E7">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2.分析研究方法基本正确，能运用部分专业基础理论和基础知 识分析和解决问题，无原则性的错误</w:t>
      </w:r>
      <w:r>
        <w:rPr>
          <w:rFonts w:hint="eastAsia"/>
          <w:sz w:val="24"/>
          <w:szCs w:val="24"/>
          <w:lang w:eastAsia="zh-CN"/>
        </w:rPr>
        <w:t>。</w:t>
      </w:r>
    </w:p>
    <w:p w14:paraId="2FE038FE">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3.论文观点基本正确，材料基本齐全，基本规范，论证有一定 说服力，结构比较完整，语句通顺，条理清楚，格式比较规范，文字材料所必需的附件不齐全</w:t>
      </w:r>
      <w:r>
        <w:rPr>
          <w:rFonts w:hint="eastAsia"/>
          <w:sz w:val="24"/>
          <w:szCs w:val="24"/>
          <w:lang w:eastAsia="zh-CN"/>
        </w:rPr>
        <w:t>。</w:t>
      </w:r>
    </w:p>
    <w:p w14:paraId="66F7494D">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4.满足专业要求的文字材料写作篇幅，有部分明显文字错误，论文形式大部分符合要求，个别地方不符合要求。</w:t>
      </w:r>
    </w:p>
    <w:p w14:paraId="66504559">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2" w:firstLineChars="200"/>
        <w:jc w:val="both"/>
        <w:textAlignment w:val="baseline"/>
        <w:rPr>
          <w:b/>
          <w:bCs/>
          <w:sz w:val="24"/>
          <w:szCs w:val="24"/>
        </w:rPr>
      </w:pPr>
      <w:r>
        <w:rPr>
          <w:b/>
          <w:bCs/>
          <w:sz w:val="24"/>
          <w:szCs w:val="24"/>
        </w:rPr>
        <w:t>（四）及格（60～69分）</w:t>
      </w:r>
    </w:p>
    <w:p w14:paraId="68CD68F7">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1.总体符合论文写作要求，选题的应用性和实用性较差</w:t>
      </w:r>
      <w:r>
        <w:rPr>
          <w:rFonts w:hint="eastAsia"/>
          <w:sz w:val="24"/>
          <w:szCs w:val="24"/>
          <w:lang w:eastAsia="zh-CN"/>
        </w:rPr>
        <w:t>。</w:t>
      </w:r>
    </w:p>
    <w:p w14:paraId="2BC3A66C">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2.分析研究方法基本正确，运用部分专业基础理论和基础知识 分析和解决问题时有个别错误</w:t>
      </w:r>
      <w:r>
        <w:rPr>
          <w:rFonts w:hint="eastAsia"/>
          <w:sz w:val="24"/>
          <w:szCs w:val="24"/>
          <w:lang w:eastAsia="zh-CN"/>
        </w:rPr>
        <w:t>。</w:t>
      </w:r>
    </w:p>
    <w:p w14:paraId="3430A365">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3.论文观点结论基本正确，材料不够齐全规范，论证说服力较差，结构不完整，语句不够通顺，条理不够清楚，格式不够规范，缺少文字材料所必需的附件</w:t>
      </w:r>
      <w:r>
        <w:rPr>
          <w:rFonts w:hint="eastAsia"/>
          <w:sz w:val="24"/>
          <w:szCs w:val="24"/>
          <w:lang w:eastAsia="zh-CN"/>
        </w:rPr>
        <w:t>。</w:t>
      </w:r>
    </w:p>
    <w:p w14:paraId="3262C27F">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4.满足专业要求的文字材料写作篇幅，明显的文字错误较多，论文形式大部分符合要求，个别地方不符合要求。</w:t>
      </w:r>
    </w:p>
    <w:p w14:paraId="3AEA19A4">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2" w:firstLineChars="200"/>
        <w:jc w:val="both"/>
        <w:textAlignment w:val="baseline"/>
        <w:rPr>
          <w:b/>
          <w:bCs/>
          <w:sz w:val="24"/>
          <w:szCs w:val="24"/>
        </w:rPr>
      </w:pPr>
      <w:r>
        <w:rPr>
          <w:b/>
          <w:bCs/>
          <w:sz w:val="24"/>
          <w:szCs w:val="24"/>
        </w:rPr>
        <w:t>（五）不及格（59 分及以下）</w:t>
      </w:r>
    </w:p>
    <w:p w14:paraId="43518714">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1.不能按基本要求完成论文，选题陈旧，无实用性和研究价值、 无可行性或偏离专业</w:t>
      </w:r>
      <w:r>
        <w:rPr>
          <w:rFonts w:hint="eastAsia"/>
          <w:sz w:val="24"/>
          <w:szCs w:val="24"/>
          <w:lang w:eastAsia="zh-CN"/>
        </w:rPr>
        <w:t>。</w:t>
      </w:r>
    </w:p>
    <w:p w14:paraId="29E0F028">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2.研究方法不正确，存在较明显的观点错误或观点不明，基本 理论、知识运用错误</w:t>
      </w:r>
      <w:r>
        <w:rPr>
          <w:rFonts w:hint="eastAsia"/>
          <w:sz w:val="24"/>
          <w:szCs w:val="24"/>
          <w:lang w:eastAsia="zh-CN"/>
        </w:rPr>
        <w:t>。</w:t>
      </w:r>
    </w:p>
    <w:p w14:paraId="1990E352">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3.材料不齐或虚假、数据不正确或伪造，论证无力或片面，漏洞明显，逻辑混乱，结构不完整，文字材料未能达到写作基本要求</w:t>
      </w:r>
      <w:r>
        <w:rPr>
          <w:rFonts w:hint="eastAsia"/>
          <w:sz w:val="24"/>
          <w:szCs w:val="24"/>
          <w:lang w:eastAsia="zh-CN"/>
        </w:rPr>
        <w:t>。</w:t>
      </w:r>
    </w:p>
    <w:p w14:paraId="441FF678">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rFonts w:hint="eastAsia" w:eastAsia="宋体"/>
          <w:sz w:val="24"/>
          <w:szCs w:val="24"/>
          <w:lang w:eastAsia="zh-CN"/>
        </w:rPr>
      </w:pPr>
      <w:r>
        <w:rPr>
          <w:sz w:val="24"/>
          <w:szCs w:val="24"/>
        </w:rPr>
        <w:t>4.写作篇幅不达标，文字错误较多，论文形式不符合要求，排版格式不统一，不规范</w:t>
      </w:r>
      <w:r>
        <w:rPr>
          <w:rFonts w:hint="eastAsia"/>
          <w:sz w:val="24"/>
          <w:szCs w:val="24"/>
          <w:lang w:eastAsia="zh-CN"/>
        </w:rPr>
        <w:t>；</w:t>
      </w:r>
    </w:p>
    <w:p w14:paraId="01019D9F">
      <w:pPr>
        <w:pStyle w:val="2"/>
        <w:keepNext w:val="0"/>
        <w:keepLines w:val="0"/>
        <w:pageBreakBefore w:val="0"/>
        <w:widowControl/>
        <w:kinsoku w:val="0"/>
        <w:wordWrap/>
        <w:overflowPunct/>
        <w:topLinePunct/>
        <w:autoSpaceDE w:val="0"/>
        <w:autoSpaceDN w:val="0"/>
        <w:bidi w:val="0"/>
        <w:adjustRightInd w:val="0"/>
        <w:snapToGrid w:val="0"/>
        <w:spacing w:before="78" w:line="560" w:lineRule="exact"/>
        <w:ind w:firstLine="480" w:firstLineChars="200"/>
        <w:jc w:val="both"/>
        <w:textAlignment w:val="baseline"/>
        <w:rPr>
          <w:sz w:val="24"/>
          <w:szCs w:val="24"/>
        </w:rPr>
      </w:pPr>
      <w:r>
        <w:rPr>
          <w:sz w:val="24"/>
          <w:szCs w:val="24"/>
        </w:rPr>
        <w:t>5.抄袭他人成果，论文查重率超过 30%。</w:t>
      </w:r>
    </w:p>
    <w:p w14:paraId="751B7964"/>
    <w:sectPr>
      <w:footerReference r:id="rId1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11C3B">
    <w:pPr>
      <w:pStyle w:val="2"/>
      <w:spacing w:line="232" w:lineRule="auto"/>
      <w:ind w:left="385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93F95"/>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92944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CA2000">
    <w:pPr>
      <w:pStyle w:val="2"/>
      <w:spacing w:line="232" w:lineRule="auto"/>
      <w:ind w:left="3821"/>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A003C1"/>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6DD690">
    <w:pPr>
      <w:pStyle w:val="2"/>
      <w:spacing w:line="232" w:lineRule="auto"/>
      <w:ind w:left="3634"/>
      <w:rPr>
        <w:sz w:val="24"/>
        <w:szCs w:val="24"/>
      </w:rPr>
    </w:pPr>
    <w:r>
      <w:rPr>
        <w:spacing w:val="-5"/>
        <w:sz w:val="24"/>
        <w:szCs w:val="24"/>
      </w:rPr>
      <w:t>—</w:t>
    </w:r>
    <w:r>
      <w:rPr>
        <w:spacing w:val="16"/>
        <w:sz w:val="24"/>
        <w:szCs w:val="24"/>
      </w:rPr>
      <w:t xml:space="preserve"> </w:t>
    </w:r>
    <w:r>
      <w:rPr>
        <w:spacing w:val="-5"/>
        <w:sz w:val="24"/>
        <w:szCs w:val="24"/>
      </w:rPr>
      <w:t>518</w:t>
    </w:r>
    <w:r>
      <w:rPr>
        <w:spacing w:val="7"/>
        <w:sz w:val="24"/>
        <w:szCs w:val="24"/>
      </w:rPr>
      <w:t xml:space="preserve"> </w:t>
    </w:r>
    <w:r>
      <w:rPr>
        <w:spacing w:val="-5"/>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C5B50">
    <w:pPr>
      <w:pStyle w:val="2"/>
      <w:spacing w:line="232" w:lineRule="auto"/>
      <w:ind w:left="38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365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52F1F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EB90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C3EF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BD36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5982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AAD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19662B"/>
    <w:multiLevelType w:val="singleLevel"/>
    <w:tmpl w:val="E719662B"/>
    <w:lvl w:ilvl="0" w:tentative="0">
      <w:start w:val="2"/>
      <w:numFmt w:val="chineseCounting"/>
      <w:suff w:val="nothing"/>
      <w:lvlText w:val="（%1）"/>
      <w:lvlJc w:val="left"/>
      <w:rPr>
        <w:rFonts w:hint="eastAsia"/>
      </w:rPr>
    </w:lvl>
  </w:abstractNum>
  <w:abstractNum w:abstractNumId="1">
    <w:nsid w:val="11736B0F"/>
    <w:multiLevelType w:val="singleLevel"/>
    <w:tmpl w:val="11736B0F"/>
    <w:lvl w:ilvl="0" w:tentative="0">
      <w:start w:val="4"/>
      <w:numFmt w:val="chineseCounting"/>
      <w:suff w:val="nothing"/>
      <w:lvlText w:val="%1、"/>
      <w:lvlJc w:val="left"/>
      <w:rPr>
        <w:rFonts w:hint="eastAsia"/>
      </w:rPr>
    </w:lvl>
  </w:abstractNum>
  <w:abstractNum w:abstractNumId="2">
    <w:nsid w:val="645D1B2E"/>
    <w:multiLevelType w:val="singleLevel"/>
    <w:tmpl w:val="645D1B2E"/>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784615"/>
    <w:rsid w:val="02145195"/>
    <w:rsid w:val="02805753"/>
    <w:rsid w:val="07AD5549"/>
    <w:rsid w:val="0842219F"/>
    <w:rsid w:val="21D11960"/>
    <w:rsid w:val="237A0EA4"/>
    <w:rsid w:val="30784615"/>
    <w:rsid w:val="30AC6769"/>
    <w:rsid w:val="4A1B48DF"/>
    <w:rsid w:val="4E154828"/>
    <w:rsid w:val="52500E9E"/>
    <w:rsid w:val="64E831B8"/>
    <w:rsid w:val="6D3A657B"/>
    <w:rsid w:val="7EDF1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4.png"/><Relationship Id="rId22" Type="http://schemas.openxmlformats.org/officeDocument/2006/relationships/image" Target="media/image3.pn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10487</Words>
  <Characters>11429</Characters>
  <Lines>0</Lines>
  <Paragraphs>0</Paragraphs>
  <TotalTime>21</TotalTime>
  <ScaleCrop>false</ScaleCrop>
  <LinksUpToDate>false</LinksUpToDate>
  <CharactersWithSpaces>11705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2025-10-14T06:30:00Z</dcterms:created>
  <dc:creator>周胤</dc:creator>
  <cp:lastModifiedBy>周胤</cp:lastModifiedBy>
  <dcterms:modified xsi:type="dcterms:W3CDTF">2025-10-16T07:25:17Z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63DCEC957C0D4958A9B8553B99863A12_13</vt:lpwstr>
  </property>
  <property fmtid="{D5CDD505-2E9C-101B-9397-08002B2CF9AE}" pid="4" name="KSOTemplateDocerSaveRecord">
    <vt:lpwstr>eyJoZGlkIjoiYzUxNmUyN2M1NDExYWQ2NTIwYWUyZTMzYWRkNjUxZDMiLCJ1c2VySWQiOiIxNDczMDM4MjY5In0=</vt:lpwstr>
  </property>
</Properties>
</file>