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76" w:lineRule="exact"/>
        <w:rPr>
          <w:rFonts w:ascii="华文中宋" w:hAnsi="华文中宋" w:eastAsia="华文中宋" w:cs="华文中宋"/>
          <w:b/>
          <w:bCs/>
          <w:color w:val="auto"/>
          <w:sz w:val="44"/>
          <w:szCs w:val="44"/>
          <w:highlight w:val="none"/>
        </w:rPr>
      </w:pPr>
    </w:p>
    <w:p>
      <w:pPr>
        <w:pStyle w:val="2"/>
        <w:keepNext w:val="0"/>
        <w:keepLines w:val="0"/>
        <w:pageBreakBefore w:val="0"/>
        <w:kinsoku/>
        <w:wordWrap/>
        <w:overflowPunct/>
        <w:topLinePunct w:val="0"/>
        <w:autoSpaceDE/>
        <w:autoSpaceDN/>
        <w:bidi w:val="0"/>
        <w:spacing w:after="0" w:line="576" w:lineRule="exact"/>
        <w:rPr>
          <w:color w:val="auto"/>
          <w:highlight w:val="none"/>
        </w:rPr>
      </w:pPr>
    </w:p>
    <w:p>
      <w:pPr>
        <w:keepNext w:val="0"/>
        <w:keepLines w:val="0"/>
        <w:pageBreakBefore w:val="0"/>
        <w:kinsoku/>
        <w:wordWrap/>
        <w:overflowPunct/>
        <w:topLinePunct w:val="0"/>
        <w:autoSpaceDE/>
        <w:autoSpaceDN/>
        <w:bidi w:val="0"/>
        <w:spacing w:line="576" w:lineRule="exact"/>
        <w:jc w:val="center"/>
        <w:outlineLvl w:val="0"/>
        <w:rPr>
          <w:rFonts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rPr>
        <w:t>江西开放大学</w:t>
      </w:r>
    </w:p>
    <w:p>
      <w:pPr>
        <w:keepNext w:val="0"/>
        <w:keepLines w:val="0"/>
        <w:pageBreakBefore w:val="0"/>
        <w:kinsoku/>
        <w:wordWrap/>
        <w:overflowPunct/>
        <w:topLinePunct w:val="0"/>
        <w:autoSpaceDE/>
        <w:autoSpaceDN/>
        <w:bidi w:val="0"/>
        <w:spacing w:line="576" w:lineRule="exact"/>
        <w:jc w:val="center"/>
        <w:outlineLvl w:val="0"/>
        <w:rPr>
          <w:rFonts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rPr>
        <w:t>吉安</w:t>
      </w:r>
      <w:r>
        <w:rPr>
          <w:rFonts w:hint="eastAsia" w:ascii="华文中宋" w:hAnsi="华文中宋" w:eastAsia="华文中宋" w:cs="华文中宋"/>
          <w:b/>
          <w:bCs/>
          <w:color w:val="auto"/>
          <w:sz w:val="44"/>
          <w:szCs w:val="44"/>
          <w:highlight w:val="none"/>
          <w:lang w:eastAsia="zh-CN"/>
        </w:rPr>
        <w:t>市分校</w:t>
      </w:r>
      <w:r>
        <w:rPr>
          <w:rFonts w:hint="eastAsia" w:ascii="华文中宋" w:hAnsi="华文中宋" w:eastAsia="华文中宋" w:cs="华文中宋"/>
          <w:b/>
          <w:bCs/>
          <w:color w:val="auto"/>
          <w:sz w:val="44"/>
          <w:szCs w:val="44"/>
          <w:highlight w:val="none"/>
        </w:rPr>
        <w:t>2020年度发展报告</w:t>
      </w:r>
    </w:p>
    <w:p>
      <w:pPr>
        <w:keepNext w:val="0"/>
        <w:keepLines w:val="0"/>
        <w:pageBreakBefore w:val="0"/>
        <w:kinsoku/>
        <w:wordWrap/>
        <w:overflowPunct/>
        <w:topLinePunct w:val="0"/>
        <w:autoSpaceDE/>
        <w:autoSpaceDN/>
        <w:bidi w:val="0"/>
        <w:spacing w:line="576" w:lineRule="exact"/>
        <w:jc w:val="left"/>
        <w:rPr>
          <w:rFonts w:ascii="黑体" w:hAnsi="黑体" w:eastAsia="黑体" w:cs="黑体"/>
          <w:color w:val="auto"/>
          <w:sz w:val="32"/>
          <w:szCs w:val="32"/>
          <w:highlight w:val="none"/>
        </w:rPr>
      </w:pPr>
    </w:p>
    <w:p>
      <w:pPr>
        <w:keepNext w:val="0"/>
        <w:keepLines w:val="0"/>
        <w:pageBreakBefore w:val="0"/>
        <w:numPr>
          <w:ilvl w:val="0"/>
          <w:numId w:val="1"/>
        </w:numPr>
        <w:kinsoku/>
        <w:wordWrap/>
        <w:overflowPunct/>
        <w:topLinePunct w:val="0"/>
        <w:autoSpaceDE/>
        <w:autoSpaceDN/>
        <w:bidi w:val="0"/>
        <w:spacing w:line="576" w:lineRule="exact"/>
        <w:ind w:firstLine="640" w:firstLineChars="200"/>
        <w:outlineLvl w:val="0"/>
        <w:rPr>
          <w:rFonts w:ascii="黑体" w:hAnsi="黑体" w:eastAsia="黑体" w:cs="黑体"/>
          <w:color w:val="auto"/>
          <w:sz w:val="32"/>
          <w:szCs w:val="32"/>
          <w:highlight w:val="none"/>
        </w:rPr>
      </w:pPr>
      <w:bookmarkStart w:id="0" w:name="_Toc40173461"/>
      <w:r>
        <w:rPr>
          <w:rFonts w:hint="eastAsia" w:ascii="黑体" w:hAnsi="黑体" w:eastAsia="黑体" w:cs="黑体"/>
          <w:color w:val="auto"/>
          <w:sz w:val="32"/>
          <w:szCs w:val="32"/>
          <w:highlight w:val="none"/>
        </w:rPr>
        <w:t>省校重点工作推进情况</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b w:val="0"/>
          <w:bCs w:val="0"/>
          <w:color w:val="auto"/>
          <w:kern w:val="2"/>
          <w:sz w:val="32"/>
          <w:szCs w:val="32"/>
          <w:highlight w:val="none"/>
          <w:lang w:val="en-US" w:eastAsia="zh-CN" w:bidi="ar-SA"/>
        </w:rPr>
        <w:t xml:space="preserve"> </w:t>
      </w:r>
      <w:r>
        <w:rPr>
          <w:rFonts w:hint="eastAsia" w:ascii="仿宋" w:hAnsi="仿宋" w:eastAsia="仿宋" w:cs="仿宋"/>
          <w:b w:val="0"/>
          <w:bCs w:val="0"/>
          <w:strike w:val="0"/>
          <w:dstrike w:val="0"/>
          <w:color w:val="auto"/>
          <w:kern w:val="2"/>
          <w:sz w:val="32"/>
          <w:szCs w:val="32"/>
          <w:highlight w:val="none"/>
          <w:lang w:val="en-US" w:eastAsia="zh-CN" w:bidi="ar-SA"/>
        </w:rPr>
        <w:t>2020年吉安市分校围绕省校重点工作，着力推进四大工作：一是</w:t>
      </w:r>
      <w:r>
        <w:rPr>
          <w:rFonts w:ascii="仿宋" w:hAnsi="仿宋" w:eastAsia="仿宋" w:cs="仿宋_GB2312"/>
          <w:color w:val="auto"/>
          <w:sz w:val="32"/>
          <w:szCs w:val="32"/>
          <w:highlight w:val="none"/>
        </w:rPr>
        <w:t>从严治招，把好入口</w:t>
      </w:r>
      <w:r>
        <w:rPr>
          <w:rFonts w:hint="eastAsia" w:ascii="仿宋" w:hAnsi="仿宋" w:eastAsia="仿宋" w:cs="仿宋_GB2312"/>
          <w:color w:val="auto"/>
          <w:sz w:val="32"/>
          <w:szCs w:val="32"/>
          <w:highlight w:val="none"/>
          <w:lang w:val="en-US" w:eastAsia="zh-CN"/>
        </w:rPr>
        <w:t>关</w:t>
      </w:r>
      <w:r>
        <w:rPr>
          <w:rFonts w:ascii="仿宋" w:hAnsi="仿宋" w:eastAsia="仿宋" w:cs="仿宋_GB2312"/>
          <w:color w:val="auto"/>
          <w:sz w:val="32"/>
          <w:szCs w:val="32"/>
          <w:highlight w:val="none"/>
        </w:rPr>
        <w:t>，</w:t>
      </w:r>
      <w:r>
        <w:rPr>
          <w:rFonts w:hint="eastAsia" w:ascii="仿宋" w:hAnsi="仿宋" w:eastAsia="仿宋" w:cs="仿宋_GB2312"/>
          <w:color w:val="auto"/>
          <w:sz w:val="32"/>
          <w:szCs w:val="32"/>
          <w:highlight w:val="none"/>
        </w:rPr>
        <w:t>拒绝虚假承诺，规范招生环境，招生源头以“清”为目标</w:t>
      </w:r>
      <w:r>
        <w:rPr>
          <w:rFonts w:hint="eastAsia" w:ascii="仿宋" w:hAnsi="仿宋" w:eastAsia="仿宋" w:cs="仿宋_GB2312"/>
          <w:color w:val="auto"/>
          <w:sz w:val="32"/>
          <w:szCs w:val="32"/>
          <w:highlight w:val="none"/>
          <w:lang w:eastAsia="zh-CN"/>
        </w:rPr>
        <w:t>；二是</w:t>
      </w:r>
      <w:r>
        <w:rPr>
          <w:rFonts w:hint="eastAsia" w:ascii="仿宋" w:hAnsi="仿宋" w:eastAsia="仿宋" w:cs="仿宋_GB2312"/>
          <w:color w:val="auto"/>
          <w:sz w:val="32"/>
          <w:szCs w:val="32"/>
          <w:highlight w:val="none"/>
        </w:rPr>
        <w:t>严格落实“三治”综合治理措施，认清形势，用刀口向内，刮骨疗毒的决心，力促真教、真学，踏实治学，教学过程以“疏”为导向</w:t>
      </w:r>
      <w:r>
        <w:rPr>
          <w:rFonts w:hint="eastAsia" w:ascii="仿宋" w:hAnsi="仿宋" w:eastAsia="仿宋" w:cs="仿宋_GB2312"/>
          <w:color w:val="auto"/>
          <w:sz w:val="32"/>
          <w:szCs w:val="32"/>
          <w:highlight w:val="none"/>
          <w:lang w:eastAsia="zh-CN"/>
        </w:rPr>
        <w:t>；三是</w:t>
      </w:r>
      <w:r>
        <w:rPr>
          <w:rFonts w:hint="eastAsia" w:ascii="仿宋" w:hAnsi="仿宋" w:eastAsia="仿宋" w:cs="宋体"/>
          <w:color w:val="auto"/>
          <w:kern w:val="0"/>
          <w:sz w:val="32"/>
          <w:szCs w:val="32"/>
          <w:highlight w:val="none"/>
        </w:rPr>
        <w:t>紧跟省</w:t>
      </w:r>
      <w:r>
        <w:rPr>
          <w:rFonts w:hint="eastAsia" w:ascii="仿宋" w:hAnsi="仿宋" w:eastAsia="仿宋" w:cs="宋体"/>
          <w:color w:val="auto"/>
          <w:kern w:val="0"/>
          <w:sz w:val="32"/>
          <w:szCs w:val="32"/>
          <w:highlight w:val="none"/>
          <w:lang w:eastAsia="zh-CN"/>
        </w:rPr>
        <w:t>校</w:t>
      </w:r>
      <w:r>
        <w:rPr>
          <w:rFonts w:hint="eastAsia" w:ascii="仿宋" w:hAnsi="仿宋" w:eastAsia="仿宋" w:cs="宋体"/>
          <w:color w:val="auto"/>
          <w:kern w:val="0"/>
          <w:sz w:val="32"/>
          <w:szCs w:val="32"/>
          <w:highlight w:val="none"/>
        </w:rPr>
        <w:t>工作步伐，多措并举，多维度开展系列治考专项，力求深层次挖掘一线信息，</w:t>
      </w:r>
      <w:r>
        <w:rPr>
          <w:rFonts w:hint="eastAsia" w:ascii="仿宋" w:hAnsi="仿宋" w:eastAsia="仿宋" w:cs="宋体"/>
          <w:color w:val="auto"/>
          <w:kern w:val="0"/>
          <w:sz w:val="32"/>
          <w:szCs w:val="32"/>
          <w:highlight w:val="none"/>
          <w:lang w:eastAsia="zh-CN"/>
        </w:rPr>
        <w:t>以</w:t>
      </w:r>
      <w:r>
        <w:rPr>
          <w:rFonts w:hint="eastAsia" w:ascii="仿宋" w:hAnsi="仿宋" w:eastAsia="仿宋" w:cs="宋体"/>
          <w:color w:val="auto"/>
          <w:kern w:val="0"/>
          <w:sz w:val="32"/>
          <w:szCs w:val="32"/>
          <w:highlight w:val="none"/>
        </w:rPr>
        <w:t>以生为本</w:t>
      </w:r>
      <w:r>
        <w:rPr>
          <w:rFonts w:hint="eastAsia" w:ascii="仿宋" w:hAnsi="仿宋" w:eastAsia="仿宋" w:cs="宋体"/>
          <w:color w:val="auto"/>
          <w:kern w:val="0"/>
          <w:sz w:val="32"/>
          <w:szCs w:val="32"/>
          <w:highlight w:val="none"/>
          <w:lang w:val="en-US" w:eastAsia="zh-CN"/>
        </w:rPr>
        <w:t>的</w:t>
      </w:r>
      <w:r>
        <w:rPr>
          <w:rFonts w:hint="eastAsia" w:ascii="仿宋" w:hAnsi="仿宋" w:eastAsia="仿宋" w:cs="宋体"/>
          <w:color w:val="auto"/>
          <w:kern w:val="0"/>
          <w:sz w:val="32"/>
          <w:szCs w:val="32"/>
          <w:highlight w:val="none"/>
        </w:rPr>
        <w:t>原则，坚守治考底线</w:t>
      </w:r>
      <w:r>
        <w:rPr>
          <w:rFonts w:hint="eastAsia" w:ascii="仿宋" w:hAnsi="仿宋" w:eastAsia="仿宋" w:cs="仿宋"/>
          <w:b w:val="0"/>
          <w:bCs w:val="0"/>
          <w:strike w:val="0"/>
          <w:dstrike w:val="0"/>
          <w:color w:val="auto"/>
          <w:kern w:val="2"/>
          <w:sz w:val="32"/>
          <w:szCs w:val="32"/>
          <w:highlight w:val="none"/>
          <w:lang w:val="en-US" w:eastAsia="zh-CN" w:bidi="ar-SA"/>
        </w:rPr>
        <w:t>，讲实话、出实招、办实事、求实效，力求做到考生敢于自信进考场；四是以“三治”为抓手，抓制度促管理，抓落实促成效，提升办学治理能力和治理水平。</w:t>
      </w:r>
    </w:p>
    <w:p>
      <w:pPr>
        <w:keepNext w:val="0"/>
        <w:keepLines w:val="0"/>
        <w:pageBreakBefore w:val="0"/>
        <w:kinsoku/>
        <w:wordWrap/>
        <w:overflowPunct/>
        <w:topLinePunct w:val="0"/>
        <w:autoSpaceDE/>
        <w:autoSpaceDN/>
        <w:bidi w:val="0"/>
        <w:spacing w:line="576"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二、人才培养</w:t>
      </w:r>
      <w:bookmarkEnd w:id="0"/>
    </w:p>
    <w:p>
      <w:pPr>
        <w:keepNext w:val="0"/>
        <w:keepLines w:val="0"/>
        <w:pageBreakBefore w:val="0"/>
        <w:kinsoku/>
        <w:wordWrap/>
        <w:overflowPunct/>
        <w:topLinePunct w:val="0"/>
        <w:autoSpaceDE/>
        <w:autoSpaceDN/>
        <w:bidi w:val="0"/>
        <w:adjustRightInd w:val="0"/>
        <w:snapToGrid w:val="0"/>
        <w:spacing w:line="576" w:lineRule="exact"/>
        <w:ind w:firstLine="736" w:firstLineChars="23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(一)学历教育整体培养情况</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仿宋"/>
          <w:color w:val="auto"/>
          <w:sz w:val="32"/>
          <w:szCs w:val="32"/>
          <w:highlight w:val="none"/>
          <w:u w:val="none"/>
        </w:rPr>
      </w:pPr>
      <w:r>
        <w:rPr>
          <w:rFonts w:hint="eastAsia" w:ascii="仿宋" w:hAnsi="仿宋" w:eastAsia="仿宋" w:cs="仿宋"/>
          <w:color w:val="auto"/>
          <w:sz w:val="32"/>
          <w:szCs w:val="32"/>
          <w:highlight w:val="none"/>
          <w:u w:val="none"/>
        </w:rPr>
        <w:t>2020年各类</w:t>
      </w:r>
      <w:r>
        <w:rPr>
          <w:rFonts w:hint="eastAsia" w:ascii="仿宋" w:hAnsi="仿宋" w:eastAsia="仿宋" w:cs="仿宋"/>
          <w:color w:val="auto"/>
          <w:sz w:val="32"/>
          <w:szCs w:val="32"/>
          <w:highlight w:val="none"/>
          <w:u w:val="none"/>
          <w:lang w:val="en-US" w:eastAsia="zh-CN"/>
        </w:rPr>
        <w:t>在籍（校）</w:t>
      </w:r>
      <w:r>
        <w:rPr>
          <w:rFonts w:hint="eastAsia" w:ascii="仿宋" w:hAnsi="仿宋" w:eastAsia="仿宋" w:cs="仿宋"/>
          <w:color w:val="auto"/>
          <w:sz w:val="32"/>
          <w:szCs w:val="32"/>
          <w:highlight w:val="none"/>
          <w:u w:val="none"/>
        </w:rPr>
        <w:t>生</w:t>
      </w:r>
      <w:r>
        <w:rPr>
          <w:rFonts w:hint="eastAsia" w:ascii="仿宋" w:hAnsi="仿宋" w:eastAsia="仿宋" w:cs="仿宋"/>
          <w:color w:val="auto"/>
          <w:sz w:val="32"/>
          <w:szCs w:val="32"/>
          <w:highlight w:val="none"/>
          <w:u w:val="none"/>
          <w:lang w:val="en-US" w:eastAsia="zh-CN"/>
        </w:rPr>
        <w:t>14007</w:t>
      </w:r>
      <w:r>
        <w:rPr>
          <w:rFonts w:hint="eastAsia" w:ascii="仿宋" w:hAnsi="仿宋" w:eastAsia="仿宋" w:cs="仿宋"/>
          <w:color w:val="auto"/>
          <w:sz w:val="32"/>
          <w:szCs w:val="32"/>
          <w:highlight w:val="none"/>
          <w:u w:val="none"/>
        </w:rPr>
        <w:t>人，</w:t>
      </w:r>
      <w:r>
        <w:rPr>
          <w:rFonts w:hint="eastAsia" w:ascii="仿宋" w:hAnsi="仿宋" w:eastAsia="仿宋" w:cs="仿宋"/>
          <w:color w:val="auto"/>
          <w:sz w:val="32"/>
          <w:szCs w:val="32"/>
          <w:highlight w:val="none"/>
          <w:u w:val="none"/>
          <w:lang w:val="en-US" w:eastAsia="zh-CN"/>
        </w:rPr>
        <w:t>同比</w:t>
      </w:r>
      <w:r>
        <w:rPr>
          <w:rFonts w:hint="eastAsia" w:ascii="仿宋" w:hAnsi="仿宋" w:eastAsia="仿宋" w:cs="仿宋"/>
          <w:color w:val="auto"/>
          <w:sz w:val="32"/>
          <w:szCs w:val="32"/>
          <w:highlight w:val="none"/>
          <w:u w:val="none"/>
        </w:rPr>
        <w:t>增加</w:t>
      </w:r>
      <w:r>
        <w:rPr>
          <w:rFonts w:hint="eastAsia" w:ascii="仿宋" w:hAnsi="仿宋" w:eastAsia="仿宋" w:cs="仿宋"/>
          <w:color w:val="auto"/>
          <w:sz w:val="32"/>
          <w:szCs w:val="32"/>
          <w:highlight w:val="none"/>
          <w:u w:val="none"/>
          <w:lang w:val="en-US" w:eastAsia="zh-CN"/>
        </w:rPr>
        <w:t>45.32</w:t>
      </w:r>
      <w:r>
        <w:rPr>
          <w:rFonts w:hint="eastAsia" w:ascii="仿宋" w:hAnsi="仿宋" w:eastAsia="仿宋" w:cs="仿宋"/>
          <w:color w:val="auto"/>
          <w:sz w:val="32"/>
          <w:szCs w:val="32"/>
          <w:highlight w:val="none"/>
          <w:u w:val="none"/>
        </w:rPr>
        <w:t>%；共培养各类毕业生共</w:t>
      </w:r>
      <w:r>
        <w:rPr>
          <w:rFonts w:hint="eastAsia" w:ascii="仿宋" w:hAnsi="仿宋" w:eastAsia="仿宋" w:cs="仿宋"/>
          <w:color w:val="auto"/>
          <w:sz w:val="32"/>
          <w:szCs w:val="32"/>
          <w:highlight w:val="none"/>
          <w:u w:val="none"/>
          <w:lang w:val="en-US" w:eastAsia="zh-CN"/>
        </w:rPr>
        <w:t>1664</w:t>
      </w:r>
      <w:r>
        <w:rPr>
          <w:rFonts w:hint="eastAsia" w:ascii="仿宋" w:hAnsi="仿宋" w:eastAsia="仿宋" w:cs="仿宋"/>
          <w:color w:val="auto"/>
          <w:sz w:val="32"/>
          <w:szCs w:val="32"/>
          <w:highlight w:val="none"/>
          <w:u w:val="none"/>
        </w:rPr>
        <w:t>人</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sz w:val="32"/>
          <w:szCs w:val="32"/>
          <w:highlight w:val="none"/>
          <w:u w:val="none"/>
          <w:lang w:val="en-US" w:eastAsia="zh-CN"/>
        </w:rPr>
        <w:t>同比</w:t>
      </w:r>
      <w:r>
        <w:rPr>
          <w:rFonts w:hint="eastAsia" w:ascii="仿宋" w:hAnsi="仿宋" w:eastAsia="仿宋" w:cs="仿宋"/>
          <w:color w:val="auto"/>
          <w:sz w:val="32"/>
          <w:szCs w:val="32"/>
          <w:highlight w:val="none"/>
          <w:u w:val="none"/>
        </w:rPr>
        <w:t>减少</w:t>
      </w:r>
      <w:r>
        <w:rPr>
          <w:rFonts w:hint="eastAsia" w:ascii="仿宋" w:hAnsi="仿宋" w:eastAsia="仿宋" w:cs="仿宋"/>
          <w:color w:val="auto"/>
          <w:sz w:val="32"/>
          <w:szCs w:val="32"/>
          <w:highlight w:val="none"/>
          <w:u w:val="none"/>
          <w:lang w:val="en-US" w:eastAsia="zh-CN"/>
        </w:rPr>
        <w:t>9.17</w:t>
      </w:r>
      <w:r>
        <w:rPr>
          <w:rFonts w:hint="eastAsia" w:ascii="仿宋" w:hAnsi="仿宋" w:eastAsia="仿宋" w:cs="仿宋"/>
          <w:color w:val="auto"/>
          <w:sz w:val="32"/>
          <w:szCs w:val="32"/>
          <w:highlight w:val="none"/>
          <w:u w:val="none"/>
        </w:rPr>
        <w:t>%。</w:t>
      </w:r>
    </w:p>
    <w:p>
      <w:pPr>
        <w:keepNext w:val="0"/>
        <w:keepLines w:val="0"/>
        <w:pageBreakBefore w:val="0"/>
        <w:kinsoku/>
        <w:wordWrap/>
        <w:overflowPunct/>
        <w:topLinePunct w:val="0"/>
        <w:autoSpaceDE/>
        <w:autoSpaceDN/>
        <w:bidi w:val="0"/>
        <w:spacing w:line="576" w:lineRule="exact"/>
        <w:ind w:firstLine="640" w:firstLineChars="200"/>
        <w:outlineLvl w:val="2"/>
        <w:rPr>
          <w:rFonts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1.高等学历继续教育</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2020年共有高等学历继续教育在籍（校）生12735人，同比增加45.61%。其中，开放教育本科1121人，占比8.80</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sz w:val="32"/>
          <w:szCs w:val="32"/>
          <w:highlight w:val="none"/>
          <w:u w:val="none"/>
          <w:lang w:val="en-US" w:eastAsia="zh-CN"/>
        </w:rPr>
        <w:t>开放教育专科11195人，占比87.91</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u w:val="none"/>
          <w:lang w:eastAsia="zh-CN"/>
        </w:rPr>
        <w:t>，成人高等教育专科</w:t>
      </w:r>
      <w:r>
        <w:rPr>
          <w:rFonts w:hint="eastAsia" w:ascii="仿宋" w:hAnsi="仿宋" w:eastAsia="仿宋" w:cs="仿宋"/>
          <w:color w:val="auto"/>
          <w:sz w:val="32"/>
          <w:szCs w:val="32"/>
          <w:highlight w:val="none"/>
          <w:u w:val="none"/>
          <w:lang w:val="en-US" w:eastAsia="zh-CN"/>
        </w:rPr>
        <w:t>419人，占比3.29%。2020年共培养</w:t>
      </w:r>
      <w:r>
        <w:rPr>
          <w:rFonts w:hint="eastAsia" w:ascii="仿宋" w:hAnsi="仿宋" w:eastAsia="仿宋" w:cs="仿宋"/>
          <w:b w:val="0"/>
          <w:bCs w:val="0"/>
          <w:color w:val="auto"/>
          <w:sz w:val="32"/>
          <w:szCs w:val="32"/>
          <w:highlight w:val="none"/>
        </w:rPr>
        <w:t>高等学历继续教育</w:t>
      </w:r>
      <w:r>
        <w:rPr>
          <w:rFonts w:hint="eastAsia" w:ascii="仿宋" w:hAnsi="仿宋" w:eastAsia="仿宋" w:cs="仿宋"/>
          <w:color w:val="auto"/>
          <w:sz w:val="32"/>
          <w:szCs w:val="32"/>
          <w:highlight w:val="none"/>
          <w:u w:val="none"/>
          <w:lang w:val="en-US" w:eastAsia="zh-CN"/>
        </w:rPr>
        <w:t>毕业生1664人。其中，开放教育本科155人，占比9.31%；开放教育专科1163人，占比69.89%，成人高等教育专科346人，占比20.79%。</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2.高等职业教育（扩招）</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ascii="仿宋" w:hAnsi="仿宋" w:eastAsia="仿宋" w:cs="仿宋"/>
          <w:color w:val="auto"/>
          <w:sz w:val="32"/>
          <w:szCs w:val="32"/>
          <w:highlight w:val="none"/>
        </w:rPr>
      </w:pPr>
      <w:r>
        <w:rPr>
          <w:rFonts w:hint="eastAsia" w:ascii="仿宋" w:hAnsi="仿宋" w:eastAsia="仿宋" w:cs="仿宋"/>
          <w:color w:val="auto"/>
          <w:sz w:val="32"/>
          <w:szCs w:val="32"/>
          <w:highlight w:val="none"/>
          <w:u w:val="none"/>
          <w:lang w:val="en-US" w:eastAsia="zh-CN"/>
        </w:rPr>
        <w:t>2020年共</w:t>
      </w:r>
      <w:r>
        <w:rPr>
          <w:rFonts w:hint="eastAsia" w:ascii="仿宋" w:hAnsi="仿宋" w:eastAsia="仿宋" w:cs="仿宋"/>
          <w:b w:val="0"/>
          <w:bCs w:val="0"/>
          <w:color w:val="auto"/>
          <w:sz w:val="32"/>
          <w:szCs w:val="32"/>
          <w:highlight w:val="none"/>
          <w:lang w:val="en-US" w:eastAsia="zh-CN"/>
        </w:rPr>
        <w:t>高等职业教育（扩招）</w:t>
      </w:r>
      <w:r>
        <w:rPr>
          <w:rFonts w:hint="eastAsia" w:ascii="仿宋" w:hAnsi="仿宋" w:eastAsia="仿宋" w:cs="仿宋"/>
          <w:color w:val="auto"/>
          <w:sz w:val="32"/>
          <w:szCs w:val="32"/>
          <w:highlight w:val="none"/>
          <w:u w:val="none"/>
          <w:lang w:val="en-US" w:eastAsia="zh-CN"/>
        </w:rPr>
        <w:t>在校生1272人（含2020年招录人数），同比增加42.44%。</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表2-1 2020年度学历教育</w:t>
      </w:r>
      <w:r>
        <w:rPr>
          <w:rFonts w:hint="eastAsia" w:ascii="仿宋" w:hAnsi="仿宋" w:eastAsia="仿宋" w:cs="仿宋"/>
          <w:color w:val="auto"/>
          <w:kern w:val="0"/>
          <w:sz w:val="28"/>
          <w:szCs w:val="28"/>
          <w:highlight w:val="none"/>
          <w:lang w:eastAsia="zh-CN"/>
        </w:rPr>
        <w:t>在籍（校）</w:t>
      </w:r>
      <w:r>
        <w:rPr>
          <w:rFonts w:hint="eastAsia" w:ascii="仿宋" w:hAnsi="仿宋" w:eastAsia="仿宋" w:cs="仿宋"/>
          <w:color w:val="auto"/>
          <w:kern w:val="0"/>
          <w:sz w:val="28"/>
          <w:szCs w:val="28"/>
          <w:highlight w:val="none"/>
        </w:rPr>
        <w:t>生人数</w:t>
      </w:r>
    </w:p>
    <w:tbl>
      <w:tblPr>
        <w:tblStyle w:val="6"/>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12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层次</w:t>
            </w:r>
          </w:p>
        </w:tc>
        <w:tc>
          <w:tcPr>
            <w:tcW w:w="139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类型</w:t>
            </w:r>
          </w:p>
        </w:tc>
        <w:tc>
          <w:tcPr>
            <w:tcW w:w="185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eastAsia="zh-CN"/>
              </w:rPr>
              <w:t>在籍（校）</w:t>
            </w:r>
            <w:r>
              <w:rPr>
                <w:rFonts w:hint="eastAsia" w:ascii="仿宋" w:hAnsi="仿宋" w:eastAsia="仿宋" w:cs="仿宋"/>
                <w:color w:val="auto"/>
                <w:kern w:val="0"/>
                <w:sz w:val="28"/>
                <w:szCs w:val="28"/>
                <w:highlight w:val="none"/>
              </w:rPr>
              <w:t>生人数</w:t>
            </w:r>
          </w:p>
        </w:tc>
        <w:tc>
          <w:tcPr>
            <w:tcW w:w="196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招生人数</w:t>
            </w:r>
          </w:p>
        </w:tc>
        <w:tc>
          <w:tcPr>
            <w:tcW w:w="2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开放本科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1121</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399</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专科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11195</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5276</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419</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112</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高职扩招</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1272</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379</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中专</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成人中专</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14007</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6166</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1664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（二）非学历教育整体培养情况</w:t>
      </w:r>
    </w:p>
    <w:p>
      <w:pPr>
        <w:keepNext w:val="0"/>
        <w:keepLines w:val="0"/>
        <w:pageBreakBefore w:val="0"/>
        <w:widowControl/>
        <w:kinsoku/>
        <w:wordWrap/>
        <w:overflowPunct/>
        <w:topLinePunct w:val="0"/>
        <w:autoSpaceDE/>
        <w:autoSpaceDN/>
        <w:bidi w:val="0"/>
        <w:spacing w:line="576" w:lineRule="exact"/>
        <w:ind w:firstLine="640" w:firstLineChars="200"/>
        <w:rPr>
          <w:rFonts w:hint="eastAsia"/>
          <w:color w:val="auto"/>
          <w:highlight w:val="none"/>
        </w:rPr>
      </w:pPr>
      <w:r>
        <w:rPr>
          <w:rFonts w:hint="eastAsia" w:ascii="仿宋" w:hAnsi="仿宋" w:eastAsia="仿宋" w:cs="仿宋"/>
          <w:b w:val="0"/>
          <w:bCs w:val="0"/>
          <w:color w:val="auto"/>
          <w:kern w:val="2"/>
          <w:sz w:val="32"/>
          <w:szCs w:val="32"/>
          <w:highlight w:val="none"/>
          <w:lang w:val="en-US" w:eastAsia="zh-CN" w:bidi="ar-SA"/>
        </w:rPr>
        <w:t>2020年</w:t>
      </w:r>
      <w:r>
        <w:rPr>
          <w:rFonts w:hint="default" w:ascii="仿宋" w:hAnsi="仿宋" w:eastAsia="仿宋" w:cs="仿宋"/>
          <w:color w:val="auto"/>
          <w:sz w:val="32"/>
          <w:szCs w:val="32"/>
          <w:highlight w:val="none"/>
          <w:lang w:val="en-US" w:eastAsia="zh-CN"/>
        </w:rPr>
        <w:t>非学历继续教育项目</w:t>
      </w:r>
      <w:r>
        <w:rPr>
          <w:rFonts w:hint="eastAsia" w:ascii="仿宋" w:hAnsi="仿宋" w:eastAsia="仿宋" w:cs="仿宋"/>
          <w:color w:val="auto"/>
          <w:sz w:val="32"/>
          <w:szCs w:val="32"/>
          <w:highlight w:val="none"/>
          <w:u w:val="none"/>
          <w:lang w:val="en-US" w:eastAsia="zh-CN"/>
        </w:rPr>
        <w:t>3</w:t>
      </w:r>
      <w:r>
        <w:rPr>
          <w:rFonts w:ascii="仿宋" w:hAnsi="仿宋" w:eastAsia="仿宋" w:cs="仿宋"/>
          <w:color w:val="auto"/>
          <w:sz w:val="32"/>
          <w:szCs w:val="32"/>
          <w:highlight w:val="none"/>
          <w:u w:val="none"/>
        </w:rPr>
        <w:t>个，开设培训班</w:t>
      </w:r>
      <w:r>
        <w:rPr>
          <w:rFonts w:hint="eastAsia" w:ascii="仿宋" w:hAnsi="仿宋" w:eastAsia="仿宋" w:cs="仿宋"/>
          <w:color w:val="auto"/>
          <w:sz w:val="32"/>
          <w:szCs w:val="32"/>
          <w:highlight w:val="none"/>
          <w:u w:val="none"/>
          <w:lang w:val="en-US" w:eastAsia="zh-CN"/>
        </w:rPr>
        <w:t>55</w:t>
      </w:r>
      <w:r>
        <w:rPr>
          <w:rFonts w:ascii="仿宋" w:hAnsi="仿宋" w:eastAsia="仿宋" w:cs="仿宋"/>
          <w:color w:val="auto"/>
          <w:sz w:val="32"/>
          <w:szCs w:val="32"/>
          <w:highlight w:val="none"/>
          <w:u w:val="none"/>
        </w:rPr>
        <w:t>个，培训规模达</w:t>
      </w:r>
      <w:r>
        <w:rPr>
          <w:rFonts w:hint="eastAsia" w:ascii="仿宋" w:hAnsi="仿宋" w:eastAsia="仿宋" w:cs="仿宋"/>
          <w:color w:val="auto"/>
          <w:sz w:val="32"/>
          <w:szCs w:val="32"/>
          <w:highlight w:val="none"/>
          <w:u w:val="none"/>
          <w:lang w:val="en-US" w:eastAsia="zh-CN"/>
        </w:rPr>
        <w:t>2917</w:t>
      </w:r>
      <w:r>
        <w:rPr>
          <w:rFonts w:ascii="仿宋" w:hAnsi="仿宋" w:eastAsia="仿宋" w:cs="仿宋"/>
          <w:color w:val="auto"/>
          <w:sz w:val="32"/>
          <w:szCs w:val="32"/>
          <w:highlight w:val="none"/>
          <w:u w:val="none"/>
        </w:rPr>
        <w:t>人次</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kern w:val="0"/>
          <w:sz w:val="32"/>
          <w:szCs w:val="32"/>
          <w:highlight w:val="none"/>
          <w:u w:val="none"/>
          <w:lang w:bidi="ar"/>
        </w:rPr>
        <w:t>同比减少</w:t>
      </w:r>
      <w:r>
        <w:rPr>
          <w:rFonts w:hint="eastAsia" w:ascii="仿宋" w:hAnsi="仿宋" w:eastAsia="仿宋" w:cs="仿宋"/>
          <w:color w:val="auto"/>
          <w:sz w:val="32"/>
          <w:szCs w:val="32"/>
          <w:highlight w:val="none"/>
          <w:u w:val="none"/>
          <w:lang w:val="en-US" w:eastAsia="zh-CN"/>
        </w:rPr>
        <w:t>39</w:t>
      </w:r>
      <w:r>
        <w:rPr>
          <w:rFonts w:ascii="仿宋" w:hAnsi="仿宋" w:eastAsia="仿宋" w:cs="仿宋"/>
          <w:color w:val="auto"/>
          <w:kern w:val="0"/>
          <w:sz w:val="32"/>
          <w:szCs w:val="32"/>
          <w:highlight w:val="none"/>
          <w:u w:val="none"/>
          <w:lang w:bidi="ar"/>
        </w:rPr>
        <w:t>%</w:t>
      </w:r>
      <w:r>
        <w:rPr>
          <w:rFonts w:hint="eastAsia" w:ascii="仿宋" w:hAnsi="仿宋" w:eastAsia="仿宋" w:cs="仿宋"/>
          <w:color w:val="auto"/>
          <w:kern w:val="0"/>
          <w:sz w:val="32"/>
          <w:szCs w:val="32"/>
          <w:highlight w:val="none"/>
          <w:u w:val="none"/>
          <w:lang w:bidi="ar"/>
        </w:rPr>
        <w:t>（因2</w:t>
      </w:r>
      <w:r>
        <w:rPr>
          <w:rFonts w:ascii="仿宋" w:hAnsi="仿宋" w:eastAsia="仿宋" w:cs="仿宋"/>
          <w:color w:val="auto"/>
          <w:kern w:val="0"/>
          <w:sz w:val="32"/>
          <w:szCs w:val="32"/>
          <w:highlight w:val="none"/>
          <w:u w:val="none"/>
          <w:lang w:bidi="ar"/>
        </w:rPr>
        <w:t>020</w:t>
      </w:r>
      <w:r>
        <w:rPr>
          <w:rFonts w:hint="eastAsia" w:ascii="仿宋" w:hAnsi="仿宋" w:eastAsia="仿宋" w:cs="仿宋"/>
          <w:color w:val="auto"/>
          <w:kern w:val="0"/>
          <w:sz w:val="32"/>
          <w:szCs w:val="32"/>
          <w:highlight w:val="none"/>
          <w:u w:val="none"/>
          <w:lang w:bidi="ar"/>
        </w:rPr>
        <w:t>年疫情影响，红色培训班级和参训人员都有明显下降）</w:t>
      </w:r>
      <w:r>
        <w:rPr>
          <w:rFonts w:ascii="仿宋" w:hAnsi="仿宋" w:eastAsia="仿宋" w:cs="仿宋"/>
          <w:color w:val="auto"/>
          <w:sz w:val="32"/>
          <w:szCs w:val="32"/>
          <w:highlight w:val="none"/>
          <w:u w:val="none"/>
        </w:rPr>
        <w:t>。</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表2-2 2020年度非学历教育情况</w:t>
      </w:r>
    </w:p>
    <w:tbl>
      <w:tblPr>
        <w:tblStyle w:val="5"/>
        <w:tblW w:w="8580" w:type="dxa"/>
        <w:jc w:val="center"/>
        <w:tblLayout w:type="fixed"/>
        <w:tblCellMar>
          <w:top w:w="0" w:type="dxa"/>
          <w:left w:w="108" w:type="dxa"/>
          <w:bottom w:w="0" w:type="dxa"/>
          <w:right w:w="108" w:type="dxa"/>
        </w:tblCellMar>
      </w:tblPr>
      <w:tblGrid>
        <w:gridCol w:w="752"/>
        <w:gridCol w:w="1379"/>
        <w:gridCol w:w="4689"/>
        <w:gridCol w:w="859"/>
        <w:gridCol w:w="901"/>
      </w:tblGrid>
      <w:tr>
        <w:tblPrEx>
          <w:tblCellMar>
            <w:top w:w="0" w:type="dxa"/>
            <w:left w:w="108" w:type="dxa"/>
            <w:bottom w:w="0" w:type="dxa"/>
            <w:right w:w="108" w:type="dxa"/>
          </w:tblCellMar>
        </w:tblPrEx>
        <w:trPr>
          <w:trHeight w:val="809"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68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85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90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社区公益</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家庭妇女、待业人员</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w:t>
            </w:r>
            <w:r>
              <w:rPr>
                <w:rFonts w:ascii="仿宋" w:hAnsi="仿宋" w:eastAsia="仿宋" w:cs="仿宋"/>
                <w:color w:val="auto"/>
                <w:kern w:val="0"/>
                <w:sz w:val="28"/>
                <w:szCs w:val="28"/>
                <w:highlight w:val="none"/>
              </w:rPr>
              <w:t>7</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2</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教育</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青少年</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3</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其他</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企业职工、红色培训等</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ascii="仿宋" w:hAnsi="仿宋" w:eastAsia="仿宋" w:cs="仿宋"/>
                <w:color w:val="auto"/>
                <w:kern w:val="0"/>
                <w:sz w:val="28"/>
                <w:szCs w:val="28"/>
                <w:highlight w:val="none"/>
              </w:rPr>
              <w:t>50</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ascii="仿宋" w:hAnsi="仿宋" w:eastAsia="仿宋" w:cs="仿宋"/>
                <w:color w:val="auto"/>
                <w:kern w:val="0"/>
                <w:sz w:val="28"/>
                <w:szCs w:val="28"/>
                <w:highlight w:val="none"/>
              </w:rPr>
              <w:t>82</w:t>
            </w:r>
            <w:r>
              <w:rPr>
                <w:rFonts w:hint="eastAsia" w:ascii="仿宋" w:hAnsi="仿宋" w:eastAsia="仿宋" w:cs="仿宋"/>
                <w:color w:val="auto"/>
                <w:kern w:val="0"/>
                <w:sz w:val="28"/>
                <w:szCs w:val="28"/>
                <w:highlight w:val="none"/>
              </w:rPr>
              <w:t>0</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ascii="仿宋" w:hAnsi="仿宋" w:eastAsia="仿宋" w:cs="仿宋"/>
                <w:color w:val="auto"/>
                <w:kern w:val="0"/>
                <w:sz w:val="28"/>
                <w:szCs w:val="28"/>
                <w:highlight w:val="none"/>
              </w:rPr>
              <w:t>55</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ascii="仿宋" w:hAnsi="仿宋" w:eastAsia="仿宋" w:cs="仿宋"/>
                <w:color w:val="auto"/>
                <w:kern w:val="0"/>
                <w:sz w:val="28"/>
                <w:szCs w:val="28"/>
                <w:highlight w:val="none"/>
              </w:rPr>
              <w:t>917</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736" w:firstLineChars="23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（三）学校专业设置情况</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2020年</w:t>
      </w:r>
      <w:r>
        <w:rPr>
          <w:rFonts w:hint="eastAsia" w:ascii="仿宋" w:hAnsi="仿宋" w:eastAsia="仿宋" w:cs="仿宋"/>
          <w:color w:val="auto"/>
          <w:sz w:val="32"/>
          <w:szCs w:val="32"/>
          <w:highlight w:val="none"/>
          <w:lang w:eastAsia="zh-CN"/>
        </w:rPr>
        <w:t>招收</w:t>
      </w:r>
      <w:r>
        <w:rPr>
          <w:rFonts w:hint="eastAsia" w:ascii="仿宋" w:hAnsi="仿宋" w:eastAsia="仿宋" w:cs="仿宋"/>
          <w:color w:val="auto"/>
          <w:sz w:val="32"/>
          <w:szCs w:val="32"/>
          <w:highlight w:val="none"/>
        </w:rPr>
        <w:t>高等学历继续教育本、专科专业共</w:t>
      </w:r>
      <w:r>
        <w:rPr>
          <w:rFonts w:hint="eastAsia" w:ascii="仿宋" w:hAnsi="仿宋" w:eastAsia="仿宋" w:cs="仿宋"/>
          <w:color w:val="auto"/>
          <w:sz w:val="32"/>
          <w:szCs w:val="32"/>
          <w:highlight w:val="none"/>
          <w:lang w:val="en-US" w:eastAsia="zh-CN"/>
        </w:rPr>
        <w:t>46</w:t>
      </w:r>
      <w:r>
        <w:rPr>
          <w:rFonts w:hint="eastAsia" w:ascii="仿宋" w:hAnsi="仿宋" w:eastAsia="仿宋" w:cs="仿宋"/>
          <w:color w:val="auto"/>
          <w:sz w:val="32"/>
          <w:szCs w:val="32"/>
          <w:highlight w:val="none"/>
        </w:rPr>
        <w:t>个，</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减少</w:t>
      </w: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rPr>
        <w:t>个。其中，开放教育本科</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个，占</w:t>
      </w:r>
      <w:r>
        <w:rPr>
          <w:rFonts w:hint="eastAsia" w:ascii="仿宋" w:hAnsi="仿宋" w:eastAsia="仿宋" w:cs="仿宋"/>
          <w:color w:val="auto"/>
          <w:sz w:val="32"/>
          <w:szCs w:val="32"/>
          <w:highlight w:val="none"/>
          <w:lang w:eastAsia="zh-CN"/>
        </w:rPr>
        <w:t>比</w:t>
      </w:r>
      <w:r>
        <w:rPr>
          <w:rFonts w:hint="eastAsia" w:ascii="仿宋" w:hAnsi="仿宋" w:eastAsia="仿宋" w:cs="仿宋"/>
          <w:color w:val="auto"/>
          <w:sz w:val="32"/>
          <w:szCs w:val="32"/>
          <w:highlight w:val="none"/>
          <w:lang w:val="en-US" w:eastAsia="zh-CN"/>
        </w:rPr>
        <w:t>26.09%</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开放教育专科</w:t>
      </w:r>
      <w:r>
        <w:rPr>
          <w:rFonts w:hint="eastAsia" w:ascii="仿宋" w:hAnsi="仿宋" w:eastAsia="仿宋" w:cs="仿宋"/>
          <w:color w:val="auto"/>
          <w:sz w:val="32"/>
          <w:szCs w:val="32"/>
          <w:highlight w:val="none"/>
          <w:lang w:val="en-US" w:eastAsia="zh-CN"/>
        </w:rPr>
        <w:t>27</w:t>
      </w:r>
      <w:r>
        <w:rPr>
          <w:rFonts w:hint="eastAsia" w:ascii="仿宋" w:hAnsi="仿宋" w:eastAsia="仿宋" w:cs="仿宋"/>
          <w:color w:val="auto"/>
          <w:sz w:val="32"/>
          <w:szCs w:val="32"/>
          <w:highlight w:val="none"/>
        </w:rPr>
        <w:t>个，占</w:t>
      </w:r>
      <w:r>
        <w:rPr>
          <w:rFonts w:hint="eastAsia" w:ascii="仿宋" w:hAnsi="仿宋" w:eastAsia="仿宋" w:cs="仿宋"/>
          <w:color w:val="auto"/>
          <w:sz w:val="32"/>
          <w:szCs w:val="32"/>
          <w:highlight w:val="none"/>
          <w:lang w:eastAsia="zh-CN"/>
        </w:rPr>
        <w:t>比</w:t>
      </w:r>
      <w:r>
        <w:rPr>
          <w:rFonts w:hint="eastAsia" w:ascii="仿宋" w:hAnsi="仿宋" w:eastAsia="仿宋" w:cs="仿宋"/>
          <w:color w:val="auto"/>
          <w:sz w:val="32"/>
          <w:szCs w:val="32"/>
          <w:highlight w:val="none"/>
          <w:lang w:val="en-US" w:eastAsia="zh-CN"/>
        </w:rPr>
        <w:t>58.70</w:t>
      </w:r>
      <w:r>
        <w:rPr>
          <w:rFonts w:hint="eastAsia" w:ascii="仿宋" w:hAnsi="仿宋" w:eastAsia="仿宋" w:cs="仿宋"/>
          <w:color w:val="auto"/>
          <w:sz w:val="32"/>
          <w:szCs w:val="32"/>
          <w:highlight w:val="none"/>
        </w:rPr>
        <w:t>%；成人高等教育专科</w:t>
      </w:r>
      <w:r>
        <w:rPr>
          <w:rFonts w:hint="eastAsia" w:ascii="仿宋" w:hAnsi="仿宋" w:eastAsia="仿宋" w:cs="仿宋"/>
          <w:color w:val="auto"/>
          <w:sz w:val="32"/>
          <w:szCs w:val="32"/>
          <w:highlight w:val="none"/>
          <w:lang w:val="en-US" w:eastAsia="zh-CN"/>
        </w:rPr>
        <w:t>7个，占比15.21%。</w:t>
      </w:r>
      <w:r>
        <w:rPr>
          <w:rFonts w:hint="eastAsia" w:ascii="仿宋" w:hAnsi="仿宋" w:eastAsia="仿宋" w:cs="仿宋"/>
          <w:color w:val="auto"/>
          <w:sz w:val="32"/>
          <w:szCs w:val="32"/>
          <w:highlight w:val="none"/>
        </w:rPr>
        <w:t>2020年</w:t>
      </w:r>
      <w:r>
        <w:rPr>
          <w:rFonts w:hint="eastAsia" w:ascii="仿宋" w:hAnsi="仿宋" w:eastAsia="仿宋" w:cs="仿宋"/>
          <w:color w:val="auto"/>
          <w:sz w:val="32"/>
          <w:szCs w:val="32"/>
          <w:highlight w:val="none"/>
          <w:lang w:eastAsia="zh-CN"/>
        </w:rPr>
        <w:t>招收</w:t>
      </w:r>
      <w:r>
        <w:rPr>
          <w:rFonts w:hint="eastAsia" w:ascii="仿宋" w:hAnsi="仿宋" w:eastAsia="仿宋" w:cs="仿宋"/>
          <w:color w:val="auto"/>
          <w:sz w:val="32"/>
          <w:szCs w:val="32"/>
          <w:highlight w:val="none"/>
        </w:rPr>
        <w:t>高等职业教育（扩招）专业共4个。</w:t>
      </w:r>
    </w:p>
    <w:p>
      <w:pPr>
        <w:pStyle w:val="2"/>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计算机科学与技术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会计学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311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77.94</w:t>
            </w:r>
          </w:p>
        </w:tc>
      </w:tr>
    </w:tbl>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p>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表2-3-2 2020年度开放教育招生规模排名前五位的专科专业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工商企业管理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1240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830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药学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609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计算机信息管理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502</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建筑工程技术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398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3579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67.82</w:t>
            </w:r>
          </w:p>
        </w:tc>
      </w:tr>
    </w:tbl>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30"/>
          <w:szCs w:val="30"/>
          <w:highlight w:val="none"/>
          <w:lang w:val="en-US" w:eastAsia="zh-CN" w:bidi="ar-SA"/>
        </w:rPr>
      </w:pPr>
    </w:p>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表2-3-3 2020年度高等职业教育（扩招）专业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121</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园林技术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60</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电子商务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91</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市场营销</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107</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379</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w:t>
      </w:r>
      <w:r>
        <w:rPr>
          <w:rFonts w:hint="eastAsia" w:ascii="楷体" w:hAnsi="楷体" w:eastAsia="楷体" w:cs="楷体"/>
          <w:b w:val="0"/>
          <w:bCs w:val="0"/>
          <w:color w:val="auto"/>
          <w:sz w:val="32"/>
          <w:szCs w:val="32"/>
          <w:highlight w:val="none"/>
          <w:lang w:eastAsia="zh-CN"/>
        </w:rPr>
        <w:t>四</w:t>
      </w:r>
      <w:r>
        <w:rPr>
          <w:rFonts w:hint="eastAsia" w:ascii="楷体" w:hAnsi="楷体" w:eastAsia="楷体" w:cs="楷体"/>
          <w:b w:val="0"/>
          <w:bCs w:val="0"/>
          <w:color w:val="auto"/>
          <w:sz w:val="32"/>
          <w:szCs w:val="32"/>
          <w:highlight w:val="none"/>
        </w:rPr>
        <w:t>）质量提升综治工程</w:t>
      </w:r>
    </w:p>
    <w:p>
      <w:pPr>
        <w:pStyle w:val="2"/>
        <w:keepNext w:val="0"/>
        <w:keepLines w:val="0"/>
        <w:pageBreakBefore w:val="0"/>
        <w:kinsoku/>
        <w:wordWrap/>
        <w:overflowPunct/>
        <w:topLinePunct w:val="0"/>
        <w:autoSpaceDE/>
        <w:autoSpaceDN/>
        <w:bidi w:val="0"/>
        <w:spacing w:after="0" w:line="576" w:lineRule="exact"/>
        <w:ind w:firstLine="640" w:firstLineChars="200"/>
        <w:textAlignment w:val="auto"/>
        <w:outlineLvl w:val="2"/>
        <w:rPr>
          <w:rFonts w:ascii="仿宋" w:hAnsi="仿宋" w:eastAsia="仿宋" w:cs="宋体"/>
          <w:b w:val="0"/>
          <w:bCs w:val="0"/>
          <w:color w:val="auto"/>
          <w:kern w:val="0"/>
          <w:sz w:val="32"/>
          <w:szCs w:val="32"/>
          <w:highlight w:val="none"/>
        </w:rPr>
      </w:pPr>
      <w:r>
        <w:rPr>
          <w:rFonts w:hint="eastAsia" w:ascii="仿宋" w:hAnsi="仿宋" w:eastAsia="仿宋" w:cs="宋体"/>
          <w:b w:val="0"/>
          <w:bCs w:val="0"/>
          <w:color w:val="auto"/>
          <w:kern w:val="0"/>
          <w:sz w:val="32"/>
          <w:szCs w:val="32"/>
          <w:highlight w:val="none"/>
        </w:rPr>
        <w:t>1.质量保障制度</w:t>
      </w:r>
    </w:p>
    <w:p>
      <w:pPr>
        <w:pStyle w:val="2"/>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b w:val="0"/>
          <w:bCs/>
          <w:color w:val="auto"/>
          <w:kern w:val="0"/>
          <w:sz w:val="32"/>
          <w:szCs w:val="32"/>
          <w:highlight w:val="none"/>
          <w:lang w:val="en-US" w:eastAsia="zh-CN" w:bidi="ar-SA"/>
        </w:rPr>
      </w:pPr>
      <w:r>
        <w:rPr>
          <w:rFonts w:hint="eastAsia" w:ascii="仿宋" w:hAnsi="仿宋" w:eastAsia="仿宋" w:cs="仿宋"/>
          <w:b w:val="0"/>
          <w:bCs/>
          <w:color w:val="auto"/>
          <w:kern w:val="0"/>
          <w:sz w:val="32"/>
          <w:szCs w:val="32"/>
          <w:highlight w:val="none"/>
          <w:lang w:val="en-US" w:eastAsia="zh-CN" w:bidi="ar-SA"/>
        </w:rPr>
        <w:t>2020年建立健全校内质量管理制度5项。</w:t>
      </w:r>
    </w:p>
    <w:p>
      <w:pPr>
        <w:keepNext w:val="0"/>
        <w:keepLines w:val="0"/>
        <w:pageBreakBefore w:val="0"/>
        <w:widowControl/>
        <w:kinsoku/>
        <w:wordWrap/>
        <w:overflowPunct/>
        <w:topLinePunct w:val="0"/>
        <w:autoSpaceDE/>
        <w:autoSpaceDN/>
        <w:bidi w:val="0"/>
        <w:spacing w:line="576"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-1  2020年度重要规章制度建设情况</w:t>
      </w:r>
    </w:p>
    <w:tbl>
      <w:tblPr>
        <w:tblStyle w:val="6"/>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69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类别</w:t>
            </w:r>
          </w:p>
        </w:tc>
        <w:tc>
          <w:tcPr>
            <w:tcW w:w="587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招生</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吉安分校招生工作规范管理检查实施方案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教学</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关于定期通报网上教学工作的通知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吉安电大关于加强开放教育网上教学</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吉安分校综合治理工程实施方案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学籍</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吉安电大学籍档案管理暂行规定</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2.办学体系和招生管理</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b w:val="0"/>
          <w:bCs/>
          <w:color w:val="auto"/>
          <w:sz w:val="32"/>
          <w:szCs w:val="32"/>
          <w:highlight w:val="none"/>
          <w:u w:val="none"/>
        </w:rPr>
      </w:pPr>
      <w:r>
        <w:rPr>
          <w:rFonts w:hint="eastAsia" w:ascii="仿宋" w:hAnsi="仿宋" w:eastAsia="仿宋"/>
          <w:b w:val="0"/>
          <w:bCs/>
          <w:color w:val="auto"/>
          <w:sz w:val="32"/>
          <w:szCs w:val="32"/>
          <w:highlight w:val="none"/>
          <w:u w:val="none"/>
        </w:rPr>
        <w:t>截</w:t>
      </w:r>
      <w:r>
        <w:rPr>
          <w:rFonts w:hint="eastAsia" w:ascii="仿宋" w:hAnsi="仿宋" w:eastAsia="仿宋"/>
          <w:b w:val="0"/>
          <w:bCs/>
          <w:color w:val="auto"/>
          <w:sz w:val="32"/>
          <w:szCs w:val="32"/>
          <w:highlight w:val="none"/>
          <w:u w:val="none"/>
          <w:lang w:eastAsia="zh-CN"/>
        </w:rPr>
        <w:t>至</w:t>
      </w:r>
      <w:r>
        <w:rPr>
          <w:rFonts w:hint="eastAsia" w:ascii="仿宋" w:hAnsi="仿宋" w:eastAsia="仿宋"/>
          <w:b w:val="0"/>
          <w:bCs/>
          <w:color w:val="auto"/>
          <w:sz w:val="32"/>
          <w:szCs w:val="32"/>
          <w:highlight w:val="none"/>
          <w:u w:val="none"/>
        </w:rPr>
        <w:t>202</w:t>
      </w:r>
      <w:r>
        <w:rPr>
          <w:rFonts w:hint="eastAsia" w:ascii="仿宋" w:hAnsi="仿宋" w:eastAsia="仿宋"/>
          <w:b w:val="0"/>
          <w:bCs/>
          <w:color w:val="auto"/>
          <w:sz w:val="32"/>
          <w:szCs w:val="32"/>
          <w:highlight w:val="none"/>
          <w:u w:val="none"/>
          <w:lang w:val="en-US" w:eastAsia="zh-CN"/>
        </w:rPr>
        <w:t>1</w:t>
      </w:r>
      <w:r>
        <w:rPr>
          <w:rFonts w:hint="eastAsia" w:ascii="仿宋" w:hAnsi="仿宋" w:eastAsia="仿宋"/>
          <w:b w:val="0"/>
          <w:bCs/>
          <w:color w:val="auto"/>
          <w:sz w:val="32"/>
          <w:szCs w:val="32"/>
          <w:highlight w:val="none"/>
          <w:u w:val="none"/>
        </w:rPr>
        <w:t>年</w:t>
      </w:r>
      <w:r>
        <w:rPr>
          <w:rFonts w:hint="eastAsia" w:ascii="仿宋" w:hAnsi="仿宋" w:eastAsia="仿宋"/>
          <w:b w:val="0"/>
          <w:bCs/>
          <w:color w:val="auto"/>
          <w:sz w:val="32"/>
          <w:szCs w:val="32"/>
          <w:highlight w:val="none"/>
          <w:u w:val="none"/>
          <w:lang w:val="en-US" w:eastAsia="zh-CN"/>
        </w:rPr>
        <w:t>1</w:t>
      </w:r>
      <w:r>
        <w:rPr>
          <w:rFonts w:hint="eastAsia" w:ascii="仿宋" w:hAnsi="仿宋" w:eastAsia="仿宋"/>
          <w:b w:val="0"/>
          <w:bCs/>
          <w:color w:val="auto"/>
          <w:sz w:val="32"/>
          <w:szCs w:val="32"/>
          <w:highlight w:val="none"/>
          <w:u w:val="none"/>
        </w:rPr>
        <w:t>月，全市办学系统由</w:t>
      </w:r>
      <w:r>
        <w:rPr>
          <w:rFonts w:ascii="仿宋" w:hAnsi="仿宋" w:eastAsia="仿宋" w:cs="仿宋"/>
          <w:b w:val="0"/>
          <w:bCs/>
          <w:color w:val="auto"/>
          <w:sz w:val="32"/>
          <w:szCs w:val="32"/>
          <w:highlight w:val="none"/>
          <w:u w:val="none"/>
        </w:rPr>
        <w:t>13</w:t>
      </w:r>
      <w:r>
        <w:rPr>
          <w:rFonts w:hint="eastAsia" w:ascii="仿宋" w:hAnsi="仿宋" w:eastAsia="仿宋"/>
          <w:b w:val="0"/>
          <w:bCs/>
          <w:color w:val="auto"/>
          <w:sz w:val="32"/>
          <w:szCs w:val="32"/>
          <w:highlight w:val="none"/>
          <w:u w:val="none"/>
        </w:rPr>
        <w:t>个县级教学点（</w:t>
      </w:r>
      <w:r>
        <w:rPr>
          <w:rFonts w:ascii="仿宋" w:hAnsi="仿宋" w:eastAsia="仿宋" w:cs="仿宋"/>
          <w:b w:val="0"/>
          <w:bCs/>
          <w:color w:val="auto"/>
          <w:sz w:val="32"/>
          <w:szCs w:val="32"/>
          <w:highlight w:val="none"/>
          <w:u w:val="none"/>
        </w:rPr>
        <w:t>10</w:t>
      </w:r>
      <w:r>
        <w:rPr>
          <w:rFonts w:hint="eastAsia" w:ascii="仿宋" w:hAnsi="仿宋" w:eastAsia="仿宋"/>
          <w:b w:val="0"/>
          <w:bCs/>
          <w:color w:val="auto"/>
          <w:sz w:val="32"/>
          <w:szCs w:val="32"/>
          <w:highlight w:val="none"/>
          <w:u w:val="none"/>
        </w:rPr>
        <w:t>个公办学校、</w:t>
      </w:r>
      <w:r>
        <w:rPr>
          <w:rFonts w:ascii="仿宋" w:hAnsi="仿宋" w:eastAsia="仿宋" w:cs="仿宋"/>
          <w:b w:val="0"/>
          <w:bCs/>
          <w:color w:val="auto"/>
          <w:sz w:val="32"/>
          <w:szCs w:val="32"/>
          <w:highlight w:val="none"/>
          <w:u w:val="none"/>
        </w:rPr>
        <w:t>3</w:t>
      </w:r>
      <w:r>
        <w:rPr>
          <w:rFonts w:hint="eastAsia" w:ascii="仿宋" w:hAnsi="仿宋" w:eastAsia="仿宋"/>
          <w:b w:val="0"/>
          <w:bCs/>
          <w:color w:val="auto"/>
          <w:sz w:val="32"/>
          <w:szCs w:val="32"/>
          <w:highlight w:val="none"/>
          <w:u w:val="none"/>
        </w:rPr>
        <w:t>个民办学校）构成。</w:t>
      </w:r>
      <w:r>
        <w:rPr>
          <w:rFonts w:hint="eastAsia" w:ascii="仿宋" w:hAnsi="仿宋" w:eastAsia="仿宋"/>
          <w:b w:val="0"/>
          <w:bCs/>
          <w:color w:val="auto"/>
          <w:sz w:val="32"/>
          <w:szCs w:val="32"/>
          <w:highlight w:val="none"/>
          <w:u w:val="none"/>
          <w:lang w:val="en-US" w:eastAsia="zh-CN"/>
        </w:rPr>
        <w:t>2020年</w:t>
      </w:r>
      <w:r>
        <w:rPr>
          <w:rFonts w:hint="eastAsia" w:ascii="仿宋" w:hAnsi="仿宋" w:eastAsia="仿宋"/>
          <w:b w:val="0"/>
          <w:bCs/>
          <w:color w:val="auto"/>
          <w:sz w:val="32"/>
          <w:szCs w:val="32"/>
          <w:highlight w:val="none"/>
          <w:u w:val="none"/>
        </w:rPr>
        <w:t>新增</w:t>
      </w:r>
      <w:r>
        <w:rPr>
          <w:rFonts w:ascii="仿宋" w:hAnsi="仿宋" w:eastAsia="仿宋" w:cs="仿宋"/>
          <w:b w:val="0"/>
          <w:bCs/>
          <w:color w:val="auto"/>
          <w:sz w:val="32"/>
          <w:szCs w:val="32"/>
          <w:highlight w:val="none"/>
          <w:u w:val="none"/>
        </w:rPr>
        <w:t>1</w:t>
      </w:r>
      <w:r>
        <w:rPr>
          <w:rFonts w:hint="eastAsia" w:ascii="仿宋" w:hAnsi="仿宋" w:eastAsia="仿宋"/>
          <w:b w:val="0"/>
          <w:bCs/>
          <w:color w:val="auto"/>
          <w:sz w:val="32"/>
          <w:szCs w:val="32"/>
          <w:highlight w:val="none"/>
          <w:u w:val="none"/>
        </w:rPr>
        <w:t>个</w:t>
      </w:r>
      <w:r>
        <w:rPr>
          <w:rFonts w:hint="eastAsia" w:ascii="仿宋" w:hAnsi="仿宋" w:eastAsia="仿宋"/>
          <w:b w:val="0"/>
          <w:bCs/>
          <w:color w:val="auto"/>
          <w:sz w:val="32"/>
          <w:szCs w:val="32"/>
          <w:highlight w:val="none"/>
          <w:u w:val="none"/>
          <w:lang w:eastAsia="zh-CN"/>
        </w:rPr>
        <w:t>教学点</w:t>
      </w:r>
      <w:r>
        <w:rPr>
          <w:rFonts w:hint="eastAsia" w:ascii="仿宋" w:hAnsi="仿宋" w:eastAsia="仿宋"/>
          <w:b w:val="0"/>
          <w:bCs/>
          <w:color w:val="auto"/>
          <w:sz w:val="32"/>
          <w:szCs w:val="32"/>
          <w:highlight w:val="none"/>
          <w:u w:val="none"/>
        </w:rPr>
        <w:t>，</w:t>
      </w:r>
      <w:r>
        <w:rPr>
          <w:rFonts w:hint="eastAsia" w:ascii="仿宋" w:hAnsi="仿宋" w:eastAsia="仿宋"/>
          <w:b w:val="0"/>
          <w:bCs/>
          <w:color w:val="auto"/>
          <w:sz w:val="32"/>
          <w:szCs w:val="32"/>
          <w:highlight w:val="none"/>
          <w:u w:val="none"/>
          <w:lang w:eastAsia="zh-CN"/>
        </w:rPr>
        <w:t>无教学点</w:t>
      </w:r>
      <w:r>
        <w:rPr>
          <w:rFonts w:hint="eastAsia" w:ascii="仿宋" w:hAnsi="仿宋" w:eastAsia="仿宋"/>
          <w:b w:val="0"/>
          <w:bCs/>
          <w:color w:val="auto"/>
          <w:sz w:val="32"/>
          <w:szCs w:val="32"/>
          <w:highlight w:val="none"/>
          <w:u w:val="none"/>
        </w:rPr>
        <w:t>撤销。</w:t>
      </w:r>
      <w:r>
        <w:rPr>
          <w:rFonts w:hint="eastAsia" w:ascii="仿宋" w:hAnsi="仿宋" w:eastAsia="仿宋"/>
          <w:b w:val="0"/>
          <w:bCs/>
          <w:color w:val="auto"/>
          <w:sz w:val="32"/>
          <w:szCs w:val="32"/>
          <w:highlight w:val="none"/>
          <w:u w:val="none"/>
          <w:lang w:val="en-US" w:eastAsia="zh-CN"/>
        </w:rPr>
        <w:t>2020年县级</w:t>
      </w:r>
      <w:r>
        <w:rPr>
          <w:rFonts w:hint="eastAsia" w:ascii="仿宋" w:hAnsi="仿宋" w:eastAsia="仿宋"/>
          <w:b w:val="0"/>
          <w:bCs/>
          <w:color w:val="auto"/>
          <w:sz w:val="32"/>
          <w:szCs w:val="32"/>
          <w:highlight w:val="none"/>
          <w:u w:val="none"/>
        </w:rPr>
        <w:t>教学点共招收学生</w:t>
      </w:r>
      <w:r>
        <w:rPr>
          <w:rFonts w:ascii="仿宋" w:hAnsi="仿宋" w:eastAsia="仿宋" w:cs="仿宋"/>
          <w:b w:val="0"/>
          <w:bCs/>
          <w:color w:val="auto"/>
          <w:sz w:val="32"/>
          <w:szCs w:val="32"/>
          <w:highlight w:val="none"/>
          <w:u w:val="none"/>
        </w:rPr>
        <w:t>527</w:t>
      </w:r>
      <w:r>
        <w:rPr>
          <w:rFonts w:hint="eastAsia" w:ascii="仿宋" w:hAnsi="仿宋" w:eastAsia="仿宋" w:cs="仿宋"/>
          <w:b w:val="0"/>
          <w:bCs/>
          <w:color w:val="auto"/>
          <w:sz w:val="32"/>
          <w:szCs w:val="32"/>
          <w:highlight w:val="none"/>
          <w:u w:val="none"/>
          <w:lang w:val="en-US" w:eastAsia="zh-CN"/>
        </w:rPr>
        <w:t>0</w:t>
      </w:r>
      <w:r>
        <w:rPr>
          <w:rFonts w:hint="eastAsia" w:ascii="仿宋" w:hAnsi="仿宋" w:eastAsia="仿宋"/>
          <w:b w:val="0"/>
          <w:bCs/>
          <w:color w:val="auto"/>
          <w:sz w:val="32"/>
          <w:szCs w:val="32"/>
          <w:highlight w:val="none"/>
          <w:u w:val="none"/>
        </w:rPr>
        <w:t>人</w:t>
      </w:r>
      <w:r>
        <w:rPr>
          <w:rFonts w:hint="eastAsia" w:ascii="仿宋" w:hAnsi="仿宋" w:eastAsia="仿宋"/>
          <w:b w:val="0"/>
          <w:bCs/>
          <w:color w:val="auto"/>
          <w:sz w:val="32"/>
          <w:szCs w:val="32"/>
          <w:highlight w:val="none"/>
          <w:u w:val="none"/>
          <w:lang w:eastAsia="zh-CN"/>
        </w:rPr>
        <w:t>，</w:t>
      </w:r>
      <w:r>
        <w:rPr>
          <w:rFonts w:hint="eastAsia" w:ascii="仿宋" w:hAnsi="仿宋" w:eastAsia="仿宋" w:cs="仿宋"/>
          <w:b w:val="0"/>
          <w:bCs/>
          <w:color w:val="auto"/>
          <w:sz w:val="32"/>
          <w:szCs w:val="32"/>
          <w:highlight w:val="none"/>
          <w:lang w:val="en-US" w:eastAsia="zh-CN"/>
        </w:rPr>
        <w:t>占全市招生的85.47%</w:t>
      </w:r>
      <w:r>
        <w:rPr>
          <w:rFonts w:hint="eastAsia" w:ascii="仿宋" w:hAnsi="仿宋" w:eastAsia="仿宋"/>
          <w:b w:val="0"/>
          <w:bCs/>
          <w:color w:val="auto"/>
          <w:sz w:val="32"/>
          <w:szCs w:val="32"/>
          <w:highlight w:val="none"/>
          <w:u w:val="none"/>
          <w:lang w:eastAsia="zh-CN"/>
        </w:rPr>
        <w:t>。</w:t>
      </w:r>
      <w:r>
        <w:rPr>
          <w:rFonts w:hint="eastAsia" w:ascii="仿宋" w:hAnsi="仿宋" w:eastAsia="仿宋"/>
          <w:b w:val="0"/>
          <w:bCs/>
          <w:color w:val="auto"/>
          <w:sz w:val="32"/>
          <w:szCs w:val="32"/>
          <w:highlight w:val="none"/>
          <w:u w:val="none"/>
          <w:lang w:val="en-US" w:eastAsia="zh-CN"/>
        </w:rPr>
        <w:t>其中，10个县级教学点</w:t>
      </w:r>
      <w:r>
        <w:rPr>
          <w:rFonts w:hint="eastAsia" w:ascii="仿宋" w:hAnsi="仿宋" w:eastAsia="仿宋"/>
          <w:b w:val="0"/>
          <w:bCs/>
          <w:color w:val="auto"/>
          <w:sz w:val="32"/>
          <w:szCs w:val="32"/>
          <w:highlight w:val="none"/>
          <w:u w:val="none"/>
        </w:rPr>
        <w:t>招收学生100人以上。</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b w:val="0"/>
          <w:bCs/>
          <w:color w:val="auto"/>
          <w:sz w:val="32"/>
          <w:szCs w:val="32"/>
          <w:highlight w:val="none"/>
          <w:u w:val="none"/>
        </w:rPr>
      </w:pPr>
      <w:r>
        <w:rPr>
          <w:rFonts w:hint="eastAsia" w:ascii="仿宋" w:hAnsi="仿宋" w:eastAsia="仿宋"/>
          <w:b w:val="0"/>
          <w:bCs/>
          <w:color w:val="auto"/>
          <w:sz w:val="32"/>
          <w:szCs w:val="32"/>
          <w:highlight w:val="none"/>
          <w:u w:val="none"/>
        </w:rPr>
        <w:t>教学点管理工作主要体现在：</w:t>
      </w:r>
      <w:r>
        <w:rPr>
          <w:rFonts w:hint="eastAsia" w:ascii="仿宋" w:hAnsi="仿宋" w:eastAsia="仿宋" w:cs="仿宋"/>
          <w:b w:val="0"/>
          <w:bCs w:val="0"/>
          <w:color w:val="auto"/>
          <w:sz w:val="32"/>
          <w:szCs w:val="32"/>
          <w:highlight w:val="none"/>
        </w:rPr>
        <w:t>一是领导重视，对所辖</w:t>
      </w:r>
      <w:r>
        <w:rPr>
          <w:rFonts w:hint="eastAsia" w:ascii="仿宋" w:hAnsi="仿宋" w:eastAsia="仿宋" w:cs="仿宋"/>
          <w:b w:val="0"/>
          <w:bCs w:val="0"/>
          <w:strike w:val="0"/>
          <w:dstrike w:val="0"/>
          <w:color w:val="auto"/>
          <w:sz w:val="32"/>
          <w:szCs w:val="32"/>
          <w:highlight w:val="none"/>
          <w:lang w:val="en-US" w:eastAsia="zh-CN"/>
        </w:rPr>
        <w:t>教</w:t>
      </w:r>
      <w:r>
        <w:rPr>
          <w:rFonts w:hint="eastAsia" w:ascii="仿宋" w:hAnsi="仿宋" w:eastAsia="仿宋" w:cs="仿宋"/>
          <w:b w:val="0"/>
          <w:bCs w:val="0"/>
          <w:color w:val="auto"/>
          <w:sz w:val="32"/>
          <w:szCs w:val="32"/>
          <w:highlight w:val="none"/>
        </w:rPr>
        <w:t>学点开展“三治”专项宣传</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细致调研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指导和督察</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二是围绕“三治”，结合本区现状逐一制定管理办法及规范流程</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召开“从严治学治考 稳步创优提质”教学业务工作会，签订《规范招生 严格治学治考自律承诺书》</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对照《吉安电大所辖考点期末考试重点工作清单》落实执行</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三是出台加强开放教育网上教学工作制度，制</w:t>
      </w:r>
      <w:r>
        <w:rPr>
          <w:rFonts w:hint="eastAsia" w:ascii="仿宋" w:hAnsi="仿宋" w:eastAsia="仿宋" w:cs="仿宋"/>
          <w:b w:val="0"/>
          <w:bCs w:val="0"/>
          <w:color w:val="auto"/>
          <w:sz w:val="32"/>
          <w:szCs w:val="32"/>
          <w:highlight w:val="none"/>
          <w:lang w:eastAsia="zh-CN"/>
        </w:rPr>
        <w:t>定</w:t>
      </w:r>
      <w:r>
        <w:rPr>
          <w:rFonts w:hint="eastAsia" w:ascii="仿宋" w:hAnsi="仿宋" w:eastAsia="仿宋" w:cs="仿宋"/>
          <w:b w:val="0"/>
          <w:bCs w:val="0"/>
          <w:color w:val="auto"/>
          <w:sz w:val="32"/>
          <w:szCs w:val="32"/>
          <w:highlight w:val="none"/>
        </w:rPr>
        <w:t>相对完善的奖励评价机制，对各教学点网上教学行为结果依照规定分别予以奖惩</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四是</w:t>
      </w:r>
      <w:r>
        <w:rPr>
          <w:rFonts w:hint="eastAsia" w:ascii="仿宋" w:hAnsi="仿宋" w:eastAsia="仿宋" w:cs="仿宋"/>
          <w:b w:val="0"/>
          <w:bCs w:val="0"/>
          <w:color w:val="auto"/>
          <w:kern w:val="0"/>
          <w:sz w:val="32"/>
          <w:szCs w:val="32"/>
          <w:highlight w:val="none"/>
        </w:rPr>
        <w:t>征集学员急切盼望的知识点和想见面的农学专家等热点、焦点问题，开设主题为“稻田种养”、“井冈蜜柚高效栽培技术”的若干专题讲座，2020秋到新干县、永新县等教学点免费送教下乡。</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仿宋"/>
          <w:color w:val="auto"/>
          <w:kern w:val="0"/>
          <w:sz w:val="32"/>
          <w:szCs w:val="32"/>
          <w:highlight w:val="none"/>
          <w:lang w:bidi="ar"/>
        </w:rPr>
      </w:pPr>
      <w:r>
        <w:rPr>
          <w:rFonts w:hint="eastAsia" w:ascii="仿宋" w:hAnsi="仿宋" w:eastAsia="仿宋" w:cs="仿宋"/>
          <w:b w:val="0"/>
          <w:bCs/>
          <w:color w:val="auto"/>
          <w:kern w:val="0"/>
          <w:sz w:val="32"/>
          <w:szCs w:val="32"/>
          <w:highlight w:val="none"/>
          <w:lang w:eastAsia="zh-CN" w:bidi="ar"/>
        </w:rPr>
        <w:t>招生</w:t>
      </w:r>
      <w:r>
        <w:rPr>
          <w:rFonts w:hint="eastAsia" w:ascii="仿宋" w:hAnsi="仿宋" w:eastAsia="仿宋" w:cs="仿宋"/>
          <w:b w:val="0"/>
          <w:bCs/>
          <w:color w:val="auto"/>
          <w:kern w:val="0"/>
          <w:sz w:val="32"/>
          <w:szCs w:val="32"/>
          <w:highlight w:val="none"/>
          <w:lang w:bidi="ar"/>
        </w:rPr>
        <w:t>管理工作主要体现在：一是招生工作的指导思想明确，强化对开放教育招生工作的组织领导，坚持规范招生管理；二是招生过程严格按照国家开放大学和省校要求</w:t>
      </w:r>
      <w:r>
        <w:rPr>
          <w:rFonts w:hint="eastAsia" w:ascii="仿宋" w:hAnsi="仿宋" w:eastAsia="仿宋" w:cs="仿宋"/>
          <w:b w:val="0"/>
          <w:bCs/>
          <w:color w:val="auto"/>
          <w:kern w:val="0"/>
          <w:sz w:val="32"/>
          <w:szCs w:val="32"/>
          <w:highlight w:val="none"/>
          <w:lang w:eastAsia="zh-CN" w:bidi="ar"/>
        </w:rPr>
        <w:t>，</w:t>
      </w:r>
      <w:r>
        <w:rPr>
          <w:rFonts w:hint="eastAsia" w:ascii="仿宋" w:hAnsi="仿宋" w:eastAsia="仿宋" w:cs="仿宋"/>
          <w:b w:val="0"/>
          <w:bCs/>
          <w:color w:val="auto"/>
          <w:kern w:val="0"/>
          <w:sz w:val="32"/>
          <w:szCs w:val="32"/>
          <w:highlight w:val="none"/>
          <w:lang w:bidi="ar"/>
        </w:rPr>
        <w:t>责任分工到位，有序进行；</w:t>
      </w:r>
      <w:r>
        <w:rPr>
          <w:rFonts w:hint="eastAsia" w:ascii="仿宋" w:hAnsi="仿宋" w:eastAsia="仿宋" w:cs="仿宋"/>
          <w:b w:val="0"/>
          <w:bCs/>
          <w:color w:val="auto"/>
          <w:kern w:val="0"/>
          <w:sz w:val="32"/>
          <w:szCs w:val="32"/>
          <w:highlight w:val="none"/>
          <w:lang w:eastAsia="zh-CN" w:bidi="ar"/>
        </w:rPr>
        <w:t>三是</w:t>
      </w:r>
      <w:r>
        <w:rPr>
          <w:rFonts w:hint="eastAsia" w:ascii="仿宋" w:hAnsi="仿宋" w:eastAsia="仿宋" w:cs="仿宋"/>
          <w:b w:val="0"/>
          <w:bCs/>
          <w:color w:val="auto"/>
          <w:kern w:val="0"/>
          <w:sz w:val="32"/>
          <w:szCs w:val="32"/>
          <w:highlight w:val="none"/>
          <w:lang w:bidi="ar"/>
        </w:rPr>
        <w:t>严格按照</w:t>
      </w:r>
      <w:r>
        <w:rPr>
          <w:rFonts w:hint="eastAsia" w:ascii="仿宋" w:hAnsi="仿宋" w:eastAsia="仿宋" w:cs="仿宋"/>
          <w:b w:val="0"/>
          <w:bCs/>
          <w:color w:val="auto"/>
          <w:kern w:val="0"/>
          <w:sz w:val="32"/>
          <w:szCs w:val="32"/>
          <w:highlight w:val="none"/>
          <w:lang w:eastAsia="zh-CN" w:bidi="ar"/>
        </w:rPr>
        <w:t>国家开放大学</w:t>
      </w:r>
      <w:r>
        <w:rPr>
          <w:rFonts w:hint="eastAsia" w:ascii="仿宋" w:hAnsi="仿宋" w:eastAsia="仿宋" w:cs="仿宋"/>
          <w:b w:val="0"/>
          <w:bCs/>
          <w:color w:val="auto"/>
          <w:kern w:val="0"/>
          <w:sz w:val="32"/>
          <w:szCs w:val="32"/>
          <w:highlight w:val="none"/>
          <w:lang w:bidi="ar"/>
        </w:rPr>
        <w:t>的文件精神开展招生工作，严禁违规收费、跨区域招生、挂靠注册等违规办学行为，不与招生中介合作，委托个人或中介机构代理招生等</w:t>
      </w:r>
      <w:r>
        <w:rPr>
          <w:rFonts w:hint="eastAsia" w:ascii="仿宋" w:hAnsi="仿宋" w:eastAsia="仿宋" w:cs="仿宋"/>
          <w:b w:val="0"/>
          <w:bCs/>
          <w:color w:val="auto"/>
          <w:kern w:val="0"/>
          <w:sz w:val="32"/>
          <w:szCs w:val="32"/>
          <w:highlight w:val="none"/>
          <w:lang w:eastAsia="zh-CN" w:bidi="ar"/>
        </w:rPr>
        <w:t>；四是</w:t>
      </w:r>
      <w:r>
        <w:rPr>
          <w:rFonts w:hint="eastAsia" w:ascii="仿宋" w:hAnsi="仿宋" w:eastAsia="仿宋" w:cs="仿宋"/>
          <w:b w:val="0"/>
          <w:bCs/>
          <w:color w:val="auto"/>
          <w:kern w:val="0"/>
          <w:sz w:val="32"/>
          <w:szCs w:val="32"/>
          <w:highlight w:val="none"/>
          <w:lang w:bidi="ar"/>
        </w:rPr>
        <w:t>按时按要求</w:t>
      </w:r>
      <w:r>
        <w:rPr>
          <w:rFonts w:hint="eastAsia" w:ascii="仿宋" w:hAnsi="仿宋" w:eastAsia="仿宋" w:cs="仿宋"/>
          <w:color w:val="auto"/>
          <w:kern w:val="0"/>
          <w:sz w:val="32"/>
          <w:szCs w:val="32"/>
          <w:highlight w:val="none"/>
          <w:lang w:bidi="ar"/>
        </w:rPr>
        <w:t>做好每季招生工作总结，实施一定的奖励措施。</w:t>
      </w:r>
      <w:r>
        <w:rPr>
          <w:rFonts w:hint="eastAsia" w:ascii="仿宋" w:hAnsi="仿宋" w:eastAsia="仿宋"/>
          <w:color w:val="auto"/>
          <w:sz w:val="32"/>
          <w:szCs w:val="32"/>
          <w:highlight w:val="none"/>
          <w:lang w:val="en-US" w:eastAsia="zh-CN"/>
        </w:rPr>
        <w:t>2020年学校招生工作无违规现象。</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3.信息化和教学资源建设</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宋体"/>
          <w:bCs/>
          <w:color w:val="auto"/>
          <w:kern w:val="0"/>
          <w:sz w:val="32"/>
          <w:szCs w:val="32"/>
          <w:highlight w:val="none"/>
          <w:lang w:eastAsia="zh-CN"/>
        </w:rPr>
      </w:pPr>
      <w:r>
        <w:rPr>
          <w:rFonts w:hint="eastAsia" w:ascii="仿宋" w:hAnsi="仿宋" w:eastAsia="仿宋" w:cs="宋体"/>
          <w:bCs/>
          <w:color w:val="auto"/>
          <w:kern w:val="0"/>
          <w:sz w:val="32"/>
          <w:szCs w:val="32"/>
          <w:highlight w:val="none"/>
        </w:rPr>
        <w:t>目前，基于区域经济水平高低不平和学费收入低等原因，</w:t>
      </w:r>
      <w:r>
        <w:rPr>
          <w:rFonts w:hint="eastAsia" w:ascii="仿宋" w:hAnsi="仿宋" w:eastAsia="仿宋" w:cs="仿宋_GB2312"/>
          <w:color w:val="auto"/>
          <w:sz w:val="32"/>
          <w:szCs w:val="32"/>
          <w:highlight w:val="none"/>
        </w:rPr>
        <w:t>吉安</w:t>
      </w:r>
      <w:r>
        <w:rPr>
          <w:rFonts w:hint="eastAsia" w:ascii="仿宋" w:hAnsi="仿宋" w:eastAsia="仿宋" w:cs="仿宋_GB2312"/>
          <w:color w:val="auto"/>
          <w:sz w:val="32"/>
          <w:szCs w:val="32"/>
          <w:highlight w:val="none"/>
          <w:lang w:eastAsia="zh-CN"/>
        </w:rPr>
        <w:t>市分校</w:t>
      </w:r>
      <w:r>
        <w:rPr>
          <w:rFonts w:hint="eastAsia" w:ascii="仿宋" w:hAnsi="仿宋" w:eastAsia="仿宋" w:cs="宋体"/>
          <w:bCs/>
          <w:color w:val="auto"/>
          <w:kern w:val="0"/>
          <w:sz w:val="32"/>
          <w:szCs w:val="32"/>
          <w:highlight w:val="none"/>
        </w:rPr>
        <w:t>校本部以及所辖县级教学点信息化建设水平参差不齐。校本部在网络基础设施、信息化教学设施设备、教师信息化素养提升、信息化在教育教学中的深度应用方面明显好于所辖县级</w:t>
      </w:r>
      <w:r>
        <w:rPr>
          <w:rFonts w:hint="eastAsia" w:ascii="仿宋" w:hAnsi="仿宋" w:eastAsia="仿宋" w:cs="宋体"/>
          <w:bCs/>
          <w:color w:val="auto"/>
          <w:kern w:val="0"/>
          <w:sz w:val="32"/>
          <w:szCs w:val="32"/>
          <w:highlight w:val="none"/>
          <w:lang w:eastAsia="zh-CN"/>
        </w:rPr>
        <w:t>教学点。</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制定了《吉安分校教学点教材管理办法》，但由于教材应用指导性普遍不能满足学生实践所用，学生自愿购买教材积极性差，该项工作任重道远。</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4.学习支持服务和教学过程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仿宋_GB2312"/>
          <w:b w:val="0"/>
          <w:bCs w:val="0"/>
          <w:color w:val="auto"/>
          <w:sz w:val="32"/>
          <w:szCs w:val="32"/>
          <w:highlight w:val="none"/>
          <w:lang w:eastAsia="zh-CN"/>
        </w:rPr>
        <w:t>（</w:t>
      </w:r>
      <w:r>
        <w:rPr>
          <w:rFonts w:hint="eastAsia" w:ascii="仿宋" w:hAnsi="仿宋" w:eastAsia="仿宋" w:cs="仿宋_GB2312"/>
          <w:b w:val="0"/>
          <w:bCs w:val="0"/>
          <w:color w:val="auto"/>
          <w:sz w:val="32"/>
          <w:szCs w:val="32"/>
          <w:highlight w:val="none"/>
          <w:lang w:val="en-US" w:eastAsia="zh-CN"/>
        </w:rPr>
        <w:t>1</w:t>
      </w:r>
      <w:r>
        <w:rPr>
          <w:rFonts w:hint="eastAsia" w:ascii="仿宋" w:hAnsi="仿宋" w:eastAsia="仿宋" w:cs="仿宋_GB2312"/>
          <w:b w:val="0"/>
          <w:bCs w:val="0"/>
          <w:color w:val="auto"/>
          <w:sz w:val="32"/>
          <w:szCs w:val="32"/>
          <w:highlight w:val="none"/>
          <w:lang w:eastAsia="zh-CN"/>
        </w:rPr>
        <w:t>）</w:t>
      </w:r>
      <w:r>
        <w:rPr>
          <w:rFonts w:hint="eastAsia" w:ascii="仿宋" w:hAnsi="仿宋" w:eastAsia="仿宋"/>
          <w:b w:val="0"/>
          <w:bCs w:val="0"/>
          <w:color w:val="auto"/>
          <w:sz w:val="32"/>
          <w:szCs w:val="32"/>
          <w:highlight w:val="none"/>
        </w:rPr>
        <w:t>注重学</w:t>
      </w:r>
      <w:r>
        <w:rPr>
          <w:rFonts w:hint="eastAsia" w:ascii="仿宋" w:hAnsi="仿宋" w:eastAsia="仿宋"/>
          <w:bCs/>
          <w:color w:val="auto"/>
          <w:sz w:val="32"/>
          <w:szCs w:val="32"/>
          <w:highlight w:val="none"/>
        </w:rPr>
        <w:t>情分析</w:t>
      </w:r>
      <w:r>
        <w:rPr>
          <w:rFonts w:hint="eastAsia" w:ascii="仿宋" w:hAnsi="仿宋" w:eastAsia="仿宋"/>
          <w:bCs/>
          <w:color w:val="auto"/>
          <w:sz w:val="32"/>
          <w:szCs w:val="32"/>
          <w:highlight w:val="none"/>
          <w:lang w:eastAsia="zh-CN"/>
        </w:rPr>
        <w:t>。</w:t>
      </w:r>
      <w:r>
        <w:rPr>
          <w:rFonts w:hint="eastAsia" w:ascii="仿宋" w:hAnsi="仿宋" w:eastAsia="仿宋" w:cs="仿宋_GB2312"/>
          <w:color w:val="auto"/>
          <w:sz w:val="32"/>
          <w:szCs w:val="32"/>
          <w:highlight w:val="none"/>
        </w:rPr>
        <w:t>针对学生</w:t>
      </w:r>
      <w:r>
        <w:rPr>
          <w:rFonts w:hint="eastAsia" w:ascii="仿宋" w:hAnsi="仿宋" w:eastAsia="仿宋" w:cs="仿宋"/>
          <w:bCs/>
          <w:color w:val="auto"/>
          <w:sz w:val="32"/>
          <w:szCs w:val="32"/>
          <w:highlight w:val="none"/>
        </w:rPr>
        <w:t>学习兴趣缺乏</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学习存在畏难情绪且</w:t>
      </w:r>
      <w:r>
        <w:rPr>
          <w:rFonts w:hint="eastAsia" w:ascii="仿宋" w:hAnsi="仿宋" w:eastAsia="仿宋" w:cs="仿宋"/>
          <w:bCs/>
          <w:color w:val="auto"/>
          <w:sz w:val="32"/>
          <w:szCs w:val="32"/>
          <w:highlight w:val="none"/>
          <w:lang w:eastAsia="zh-CN"/>
        </w:rPr>
        <w:t>国家开放大学</w:t>
      </w:r>
      <w:r>
        <w:rPr>
          <w:rFonts w:hint="eastAsia" w:ascii="仿宋" w:hAnsi="仿宋" w:eastAsia="仿宋" w:cs="仿宋"/>
          <w:bCs/>
          <w:color w:val="auto"/>
          <w:sz w:val="32"/>
          <w:szCs w:val="32"/>
          <w:highlight w:val="none"/>
        </w:rPr>
        <w:t>教学手段、方法、教材相对滞后的现状，</w:t>
      </w:r>
      <w:r>
        <w:rPr>
          <w:rFonts w:hint="eastAsia" w:ascii="仿宋" w:hAnsi="仿宋" w:eastAsia="仿宋"/>
          <w:bCs/>
          <w:color w:val="auto"/>
          <w:sz w:val="32"/>
          <w:szCs w:val="32"/>
          <w:highlight w:val="none"/>
        </w:rPr>
        <w:t>直面焦点问题，对“症”下“药”</w:t>
      </w:r>
      <w:r>
        <w:rPr>
          <w:rFonts w:hint="eastAsia" w:ascii="仿宋" w:hAnsi="仿宋" w:eastAsia="仿宋" w:cs="仿宋"/>
          <w:color w:val="auto"/>
          <w:sz w:val="32"/>
          <w:szCs w:val="32"/>
          <w:highlight w:val="none"/>
        </w:rPr>
        <w:t>：一方面实行周、日报制，6月份、1</w:t>
      </w:r>
      <w:r>
        <w:rPr>
          <w:rFonts w:ascii="仿宋" w:hAnsi="仿宋" w:eastAsia="仿宋" w:cs="仿宋"/>
          <w:color w:val="auto"/>
          <w:sz w:val="32"/>
          <w:szCs w:val="32"/>
          <w:highlight w:val="none"/>
        </w:rPr>
        <w:t>2</w:t>
      </w:r>
      <w:r>
        <w:rPr>
          <w:rFonts w:hint="eastAsia" w:ascii="仿宋" w:hAnsi="仿宋" w:eastAsia="仿宋" w:cs="仿宋"/>
          <w:color w:val="auto"/>
          <w:sz w:val="32"/>
          <w:szCs w:val="32"/>
          <w:highlight w:val="none"/>
        </w:rPr>
        <w:t>月份每日通报各教学点的网上教学数据，督促各教学点精准施策，从强制逐渐变习惯，逐步落实师生“教”与“学”的互动</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另一方面出台</w:t>
      </w:r>
      <w:r>
        <w:rPr>
          <w:rFonts w:ascii="仿宋" w:hAnsi="仿宋" w:eastAsia="仿宋" w:cs="仿宋"/>
          <w:color w:val="auto"/>
          <w:sz w:val="32"/>
          <w:szCs w:val="32"/>
          <w:highlight w:val="none"/>
        </w:rPr>
        <w:t>加强开放教育网上教学工作制度，制</w:t>
      </w:r>
      <w:r>
        <w:rPr>
          <w:rFonts w:hint="eastAsia" w:ascii="仿宋" w:hAnsi="仿宋" w:eastAsia="仿宋" w:cs="仿宋"/>
          <w:color w:val="auto"/>
          <w:sz w:val="32"/>
          <w:szCs w:val="32"/>
          <w:highlight w:val="none"/>
          <w:lang w:eastAsia="zh-CN"/>
        </w:rPr>
        <w:t>定</w:t>
      </w:r>
      <w:r>
        <w:rPr>
          <w:rFonts w:ascii="仿宋" w:hAnsi="仿宋" w:eastAsia="仿宋" w:cs="仿宋"/>
          <w:color w:val="auto"/>
          <w:sz w:val="32"/>
          <w:szCs w:val="32"/>
          <w:highlight w:val="none"/>
        </w:rPr>
        <w:t>相对</w:t>
      </w:r>
      <w:r>
        <w:rPr>
          <w:rFonts w:hint="eastAsia" w:ascii="仿宋" w:hAnsi="仿宋" w:eastAsia="仿宋" w:cs="仿宋"/>
          <w:color w:val="auto"/>
          <w:sz w:val="32"/>
          <w:szCs w:val="32"/>
          <w:highlight w:val="none"/>
        </w:rPr>
        <w:t>完善的奖励评价机制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20</w:t>
      </w:r>
      <w:r>
        <w:rPr>
          <w:rFonts w:ascii="仿宋" w:hAnsi="仿宋" w:eastAsia="仿宋" w:cs="仿宋"/>
          <w:color w:val="auto"/>
          <w:sz w:val="32"/>
          <w:szCs w:val="32"/>
          <w:highlight w:val="none"/>
        </w:rPr>
        <w:t>20</w:t>
      </w:r>
      <w:r>
        <w:rPr>
          <w:rFonts w:hint="eastAsia" w:ascii="仿宋" w:hAnsi="仿宋" w:eastAsia="仿宋" w:cs="仿宋"/>
          <w:color w:val="auto"/>
          <w:sz w:val="32"/>
          <w:szCs w:val="32"/>
          <w:highlight w:val="none"/>
        </w:rPr>
        <w:t>年对各教学点网上教学行为结果依照规定分别予以奖惩。</w:t>
      </w:r>
    </w:p>
    <w:p>
      <w:pPr>
        <w:keepNext w:val="0"/>
        <w:keepLines w:val="0"/>
        <w:pageBreakBefore w:val="0"/>
        <w:kinsoku/>
        <w:wordWrap/>
        <w:overflowPunct/>
        <w:topLinePunct w:val="0"/>
        <w:autoSpaceDE/>
        <w:autoSpaceDN/>
        <w:bidi w:val="0"/>
        <w:spacing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b w:val="0"/>
          <w:bCs/>
          <w:color w:val="auto"/>
          <w:sz w:val="32"/>
          <w:szCs w:val="32"/>
          <w:highlight w:val="none"/>
          <w:lang w:eastAsia="zh-CN"/>
        </w:rPr>
        <w:t>（</w:t>
      </w:r>
      <w:r>
        <w:rPr>
          <w:rFonts w:hint="eastAsia" w:ascii="仿宋" w:hAnsi="仿宋" w:eastAsia="仿宋"/>
          <w:b w:val="0"/>
          <w:bCs/>
          <w:color w:val="auto"/>
          <w:sz w:val="32"/>
          <w:szCs w:val="32"/>
          <w:highlight w:val="none"/>
          <w:lang w:val="en-US" w:eastAsia="zh-CN"/>
        </w:rPr>
        <w:t>2</w:t>
      </w:r>
      <w:r>
        <w:rPr>
          <w:rFonts w:hint="eastAsia" w:ascii="仿宋" w:hAnsi="仿宋" w:eastAsia="仿宋"/>
          <w:b w:val="0"/>
          <w:bCs/>
          <w:color w:val="auto"/>
          <w:sz w:val="32"/>
          <w:szCs w:val="32"/>
          <w:highlight w:val="none"/>
          <w:lang w:eastAsia="zh-CN"/>
        </w:rPr>
        <w:t>）</w:t>
      </w:r>
      <w:r>
        <w:rPr>
          <w:rFonts w:hint="eastAsia" w:ascii="仿宋" w:hAnsi="仿宋" w:eastAsia="仿宋" w:cs="宋体"/>
          <w:b w:val="0"/>
          <w:bCs/>
          <w:color w:val="auto"/>
          <w:kern w:val="0"/>
          <w:sz w:val="32"/>
          <w:szCs w:val="32"/>
          <w:highlight w:val="none"/>
        </w:rPr>
        <w:t>为教学点免费送教下乡。</w:t>
      </w:r>
      <w:r>
        <w:rPr>
          <w:rFonts w:hint="eastAsia" w:ascii="仿宋" w:hAnsi="仿宋" w:eastAsia="仿宋" w:cs="宋体"/>
          <w:color w:val="auto"/>
          <w:kern w:val="0"/>
          <w:sz w:val="32"/>
          <w:szCs w:val="32"/>
          <w:highlight w:val="none"/>
        </w:rPr>
        <w:t>20</w:t>
      </w:r>
      <w:r>
        <w:rPr>
          <w:rFonts w:ascii="仿宋" w:hAnsi="仿宋" w:eastAsia="仿宋" w:cs="宋体"/>
          <w:color w:val="auto"/>
          <w:kern w:val="0"/>
          <w:sz w:val="32"/>
          <w:szCs w:val="32"/>
          <w:highlight w:val="none"/>
        </w:rPr>
        <w:t>20</w:t>
      </w:r>
      <w:r>
        <w:rPr>
          <w:rFonts w:hint="eastAsia" w:ascii="仿宋" w:hAnsi="仿宋" w:eastAsia="仿宋" w:cs="宋体"/>
          <w:color w:val="auto"/>
          <w:kern w:val="0"/>
          <w:sz w:val="32"/>
          <w:szCs w:val="32"/>
          <w:highlight w:val="none"/>
        </w:rPr>
        <w:t>年征集学员急切盼望的知识点和想见面的农学专家等热点、焦点问题，开设主题为“稻田种养”、“井冈蜜柚高效栽培技术”的若干专题讲座，20</w:t>
      </w:r>
      <w:r>
        <w:rPr>
          <w:rFonts w:ascii="仿宋" w:hAnsi="仿宋" w:eastAsia="仿宋" w:cs="宋体"/>
          <w:color w:val="auto"/>
          <w:kern w:val="0"/>
          <w:sz w:val="32"/>
          <w:szCs w:val="32"/>
          <w:highlight w:val="none"/>
        </w:rPr>
        <w:t>20</w:t>
      </w:r>
      <w:r>
        <w:rPr>
          <w:rFonts w:hint="eastAsia" w:ascii="仿宋" w:hAnsi="仿宋" w:eastAsia="仿宋" w:cs="宋体"/>
          <w:color w:val="auto"/>
          <w:kern w:val="0"/>
          <w:sz w:val="32"/>
          <w:szCs w:val="32"/>
          <w:highlight w:val="none"/>
        </w:rPr>
        <w:t>秋到新干县、永新县等教学点免费送教下乡。专家的手把手互动式的答疑释惑，深受学员欢迎，部分站点出现“一位难求”。</w:t>
      </w:r>
    </w:p>
    <w:p>
      <w:pPr>
        <w:keepNext w:val="0"/>
        <w:keepLines w:val="0"/>
        <w:pageBreakBefore w:val="0"/>
        <w:kinsoku/>
        <w:wordWrap/>
        <w:overflowPunct/>
        <w:topLinePunct w:val="0"/>
        <w:autoSpaceDE/>
        <w:autoSpaceDN/>
        <w:bidi w:val="0"/>
        <w:spacing w:line="576" w:lineRule="exact"/>
        <w:ind w:firstLine="640" w:firstLineChars="200"/>
        <w:rPr>
          <w:rFonts w:ascii="仿宋_GB2312" w:hAnsi="仿宋" w:eastAsia="仿宋_GB2312" w:cs="仿宋_GB2312"/>
          <w:b w:val="0"/>
          <w:bCs/>
          <w:color w:val="auto"/>
          <w:sz w:val="32"/>
          <w:szCs w:val="32"/>
          <w:highlight w:val="none"/>
        </w:rPr>
      </w:pPr>
      <w:r>
        <w:rPr>
          <w:rFonts w:hint="eastAsia" w:ascii="仿宋" w:hAnsi="仿宋" w:eastAsia="仿宋" w:cs="仿宋"/>
          <w:b w:val="0"/>
          <w:bCs/>
          <w:color w:val="auto"/>
          <w:sz w:val="32"/>
          <w:szCs w:val="32"/>
          <w:highlight w:val="none"/>
          <w:lang w:eastAsia="zh-CN"/>
        </w:rPr>
        <w:t>（</w:t>
      </w:r>
      <w:r>
        <w:rPr>
          <w:rFonts w:hint="eastAsia" w:ascii="仿宋" w:hAnsi="仿宋" w:eastAsia="仿宋" w:cs="仿宋"/>
          <w:b w:val="0"/>
          <w:bCs/>
          <w:color w:val="auto"/>
          <w:sz w:val="32"/>
          <w:szCs w:val="32"/>
          <w:highlight w:val="none"/>
          <w:lang w:val="en-US" w:eastAsia="zh-CN"/>
        </w:rPr>
        <w:t>3</w:t>
      </w:r>
      <w:r>
        <w:rPr>
          <w:rFonts w:hint="eastAsia" w:ascii="仿宋" w:hAnsi="仿宋" w:eastAsia="仿宋" w:cs="仿宋"/>
          <w:b w:val="0"/>
          <w:bCs/>
          <w:color w:val="auto"/>
          <w:sz w:val="32"/>
          <w:szCs w:val="32"/>
          <w:highlight w:val="none"/>
          <w:lang w:eastAsia="zh-CN"/>
        </w:rPr>
        <w:t>）</w:t>
      </w:r>
      <w:r>
        <w:rPr>
          <w:rFonts w:hint="eastAsia" w:ascii="仿宋" w:hAnsi="仿宋" w:eastAsia="仿宋" w:cs="仿宋"/>
          <w:b w:val="0"/>
          <w:bCs/>
          <w:color w:val="auto"/>
          <w:sz w:val="32"/>
          <w:szCs w:val="32"/>
          <w:highlight w:val="none"/>
        </w:rPr>
        <w:t>持之以恒实施专科</w:t>
      </w:r>
      <w:r>
        <w:rPr>
          <w:rFonts w:hint="eastAsia" w:ascii="仿宋" w:hAnsi="仿宋" w:eastAsia="仿宋" w:cs="仿宋"/>
          <w:b w:val="0"/>
          <w:bCs/>
          <w:color w:val="auto"/>
          <w:kern w:val="0"/>
          <w:sz w:val="32"/>
          <w:szCs w:val="32"/>
          <w:highlight w:val="none"/>
        </w:rPr>
        <w:t>毕业论文网络查重</w:t>
      </w:r>
      <w:r>
        <w:rPr>
          <w:rFonts w:hint="eastAsia" w:ascii="仿宋" w:hAnsi="仿宋" w:eastAsia="仿宋" w:cs="仿宋"/>
          <w:b w:val="0"/>
          <w:bCs/>
          <w:color w:val="auto"/>
          <w:sz w:val="32"/>
          <w:szCs w:val="32"/>
          <w:highlight w:val="none"/>
        </w:rPr>
        <w:t>。</w:t>
      </w:r>
      <w:r>
        <w:rPr>
          <w:rFonts w:hint="eastAsia" w:ascii="仿宋" w:hAnsi="仿宋" w:eastAsia="仿宋" w:cs="仿宋_GB2312"/>
          <w:b w:val="0"/>
          <w:bCs/>
          <w:color w:val="auto"/>
          <w:sz w:val="32"/>
          <w:szCs w:val="32"/>
          <w:highlight w:val="none"/>
        </w:rPr>
        <w:t>自2019年起，正式要求所辖教学点所有专科层次</w:t>
      </w:r>
      <w:r>
        <w:rPr>
          <w:rFonts w:hint="eastAsia" w:ascii="仿宋" w:hAnsi="仿宋" w:eastAsia="仿宋" w:cs="宋体"/>
          <w:b w:val="0"/>
          <w:bCs/>
          <w:color w:val="auto"/>
          <w:kern w:val="0"/>
          <w:sz w:val="32"/>
          <w:szCs w:val="32"/>
          <w:highlight w:val="none"/>
        </w:rPr>
        <w:t>毕业论文实行网络查重制，同时大力提倡学生结合自身工作实践撰写与所学专业、层次匹配的实践报告式论文</w:t>
      </w:r>
      <w:r>
        <w:rPr>
          <w:rFonts w:hint="eastAsia" w:ascii="仿宋" w:hAnsi="仿宋" w:eastAsia="仿宋" w:cs="宋体"/>
          <w:b w:val="0"/>
          <w:bCs/>
          <w:color w:val="auto"/>
          <w:kern w:val="0"/>
          <w:sz w:val="32"/>
          <w:szCs w:val="32"/>
          <w:highlight w:val="none"/>
          <w:lang w:eastAsia="zh-CN"/>
        </w:rPr>
        <w:t>；</w:t>
      </w:r>
      <w:r>
        <w:rPr>
          <w:rFonts w:hint="eastAsia" w:ascii="仿宋" w:hAnsi="仿宋" w:eastAsia="仿宋" w:cs="仿宋_GB2312"/>
          <w:b w:val="0"/>
          <w:bCs/>
          <w:color w:val="auto"/>
          <w:sz w:val="32"/>
          <w:szCs w:val="32"/>
          <w:highlight w:val="none"/>
        </w:rPr>
        <w:t>组建了井冈山大学党委书记胡春晓教授为成员的教师团队评阅专科论文，并归档保存，且对“性价比”高的论文进行表彰。</w:t>
      </w:r>
    </w:p>
    <w:p>
      <w:pPr>
        <w:pStyle w:val="9"/>
        <w:keepNext w:val="0"/>
        <w:keepLines w:val="0"/>
        <w:pageBreakBefore w:val="0"/>
        <w:widowControl/>
        <w:kinsoku/>
        <w:wordWrap/>
        <w:overflowPunct/>
        <w:topLinePunct w:val="0"/>
        <w:autoSpaceDE/>
        <w:autoSpaceDN/>
        <w:bidi w:val="0"/>
        <w:adjustRightInd w:val="0"/>
        <w:snapToGrid w:val="0"/>
        <w:spacing w:line="576" w:lineRule="exact"/>
        <w:ind w:firstLine="0" w:firstLineChars="0"/>
        <w:jc w:val="center"/>
        <w:textAlignment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-4-1 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rPr>
        <w:t>学习网教学基本情况</w:t>
      </w:r>
    </w:p>
    <w:tbl>
      <w:tblPr>
        <w:tblStyle w:val="6"/>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19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110.53</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96.04</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109.29</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85.9</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bl>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p>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表2-4-4-2 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bidi="ar-SA"/>
        </w:rPr>
        <w:t>学习网教学支持服务</w:t>
      </w:r>
      <w:bookmarkStart w:id="1" w:name="_GoBack"/>
      <w:bookmarkEnd w:id="1"/>
      <w:r>
        <w:rPr>
          <w:rFonts w:hint="eastAsia" w:ascii="仿宋" w:hAnsi="仿宋" w:eastAsia="仿宋" w:cs="仿宋"/>
          <w:color w:val="auto"/>
          <w:kern w:val="0"/>
          <w:sz w:val="28"/>
          <w:szCs w:val="28"/>
          <w:highlight w:val="none"/>
          <w:lang w:val="en-US" w:eastAsia="zh-CN" w:bidi="ar-SA"/>
        </w:rPr>
        <w:t>情况</w:t>
      </w:r>
    </w:p>
    <w:tbl>
      <w:tblPr>
        <w:tblStyle w:val="5"/>
        <w:tblW w:w="8175" w:type="dxa"/>
        <w:jc w:val="center"/>
        <w:shd w:val="clear" w:color="auto" w:fill="auto"/>
        <w:tblLayout w:type="fixed"/>
        <w:tblCellMar>
          <w:top w:w="0" w:type="dxa"/>
          <w:left w:w="0" w:type="dxa"/>
          <w:bottom w:w="0" w:type="dxa"/>
          <w:right w:w="0" w:type="dxa"/>
        </w:tblCellMar>
      </w:tblPr>
      <w:tblGrid>
        <w:gridCol w:w="1225"/>
        <w:gridCol w:w="1200"/>
        <w:gridCol w:w="1084"/>
        <w:gridCol w:w="1128"/>
        <w:gridCol w:w="1138"/>
        <w:gridCol w:w="1017"/>
        <w:gridCol w:w="1383"/>
      </w:tblGrid>
      <w:tr>
        <w:tblPrEx>
          <w:shd w:val="clear" w:color="auto" w:fill="auto"/>
          <w:tblCellMar>
            <w:top w:w="0" w:type="dxa"/>
            <w:left w:w="0" w:type="dxa"/>
            <w:bottom w:w="0" w:type="dxa"/>
            <w:right w:w="0" w:type="dxa"/>
          </w:tblCellMar>
        </w:tblPrEx>
        <w:trPr>
          <w:trHeight w:val="1149"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12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学生人均在线行为次数</w:t>
            </w:r>
          </w:p>
        </w:tc>
        <w:tc>
          <w:tcPr>
            <w:tcW w:w="113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教师人均在线行为次数</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7247252</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131109</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878.56</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666550</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13902</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1145.27</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9910810</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277835</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987.92</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797135</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14077</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2422.9</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r>
    </w:tbl>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p>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表2-4-4-3 2020年度开放教育面授教学基本情况</w:t>
      </w:r>
    </w:p>
    <w:tbl>
      <w:tblPr>
        <w:tblStyle w:val="6"/>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19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面授辅导课次</w:t>
            </w:r>
          </w:p>
        </w:tc>
        <w:tc>
          <w:tcPr>
            <w:tcW w:w="274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26</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28</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76%</w:t>
            </w:r>
          </w:p>
        </w:tc>
      </w:tr>
    </w:tbl>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p>
    <w:p>
      <w:pPr>
        <w:pStyle w:val="11"/>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表2-4-4-4 2020年度开放教育实践教学情况</w:t>
      </w:r>
    </w:p>
    <w:tbl>
      <w:tblPr>
        <w:tblStyle w:val="6"/>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5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实践基地新增数量</w:t>
            </w:r>
          </w:p>
        </w:tc>
        <w:tc>
          <w:tcPr>
            <w:tcW w:w="2486"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实践基地总数</w:t>
            </w:r>
          </w:p>
        </w:tc>
        <w:tc>
          <w:tcPr>
            <w:tcW w:w="25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ascii="仿宋" w:hAnsi="仿宋" w:eastAsia="仿宋" w:cs="仿宋"/>
                <w:color w:val="auto"/>
                <w:sz w:val="28"/>
                <w:szCs w:val="28"/>
                <w:highlight w:val="none"/>
              </w:rPr>
              <w:t>1</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ascii="仿宋" w:hAnsi="仿宋" w:eastAsia="仿宋" w:cs="仿宋"/>
                <w:color w:val="auto"/>
                <w:sz w:val="28"/>
                <w:szCs w:val="28"/>
                <w:highlight w:val="none"/>
              </w:rPr>
              <w:t>0</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r>
              <w:rPr>
                <w:rFonts w:ascii="仿宋" w:hAnsi="仿宋" w:eastAsia="仿宋" w:cs="仿宋"/>
                <w:color w:val="auto"/>
                <w:sz w:val="28"/>
                <w:szCs w:val="2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ascii="仿宋" w:hAnsi="仿宋" w:eastAsia="仿宋" w:cs="仿宋"/>
                <w:color w:val="auto"/>
                <w:sz w:val="28"/>
                <w:szCs w:val="28"/>
                <w:highlight w:val="none"/>
              </w:rPr>
              <w:t>1</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ascii="仿宋" w:hAnsi="仿宋" w:eastAsia="仿宋" w:cs="仿宋"/>
                <w:color w:val="auto"/>
                <w:sz w:val="28"/>
                <w:szCs w:val="28"/>
                <w:highlight w:val="none"/>
              </w:rPr>
              <w:t>0</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r>
              <w:rPr>
                <w:rFonts w:ascii="仿宋" w:hAnsi="仿宋" w:eastAsia="仿宋" w:cs="仿宋"/>
                <w:color w:val="auto"/>
                <w:sz w:val="28"/>
                <w:szCs w:val="28"/>
                <w:highlight w:val="none"/>
              </w:rPr>
              <w:t>5</w:t>
            </w:r>
          </w:p>
        </w:tc>
      </w:tr>
    </w:tbl>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5.考试组织情况</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b w:val="0"/>
          <w:bCs w:val="0"/>
          <w:color w:val="auto"/>
          <w:sz w:val="32"/>
          <w:szCs w:val="32"/>
          <w:highlight w:val="none"/>
        </w:rPr>
      </w:pPr>
      <w:r>
        <w:rPr>
          <w:rFonts w:hint="eastAsia" w:ascii="仿宋" w:hAnsi="仿宋" w:eastAsia="仿宋"/>
          <w:b w:val="0"/>
          <w:bCs w:val="0"/>
          <w:color w:val="auto"/>
          <w:sz w:val="32"/>
          <w:szCs w:val="32"/>
          <w:highlight w:val="none"/>
        </w:rPr>
        <w:t>一是下发《吉安电大所辖考点期末考试重点工作清单》，</w:t>
      </w:r>
      <w:r>
        <w:rPr>
          <w:rFonts w:hint="eastAsia" w:ascii="仿宋" w:hAnsi="仿宋" w:eastAsia="仿宋" w:cs="仿宋_GB2312"/>
          <w:b w:val="0"/>
          <w:bCs w:val="0"/>
          <w:color w:val="auto"/>
          <w:sz w:val="32"/>
          <w:szCs w:val="32"/>
          <w:highlight w:val="none"/>
        </w:rPr>
        <w:t>吉安</w:t>
      </w:r>
      <w:r>
        <w:rPr>
          <w:rFonts w:hint="eastAsia" w:ascii="仿宋" w:hAnsi="仿宋" w:eastAsia="仿宋" w:cs="仿宋_GB2312"/>
          <w:b w:val="0"/>
          <w:bCs w:val="0"/>
          <w:color w:val="auto"/>
          <w:sz w:val="32"/>
          <w:szCs w:val="32"/>
          <w:highlight w:val="none"/>
          <w:lang w:eastAsia="zh-CN"/>
        </w:rPr>
        <w:t>市分校</w:t>
      </w:r>
      <w:r>
        <w:rPr>
          <w:rFonts w:hint="eastAsia" w:ascii="仿宋" w:hAnsi="仿宋" w:eastAsia="仿宋"/>
          <w:b w:val="0"/>
          <w:bCs w:val="0"/>
          <w:color w:val="auto"/>
          <w:sz w:val="32"/>
          <w:szCs w:val="32"/>
          <w:highlight w:val="none"/>
        </w:rPr>
        <w:t>所辖考点</w:t>
      </w:r>
      <w:r>
        <w:rPr>
          <w:rFonts w:hint="eastAsia" w:ascii="仿宋" w:hAnsi="仿宋" w:eastAsia="仿宋" w:cs="仿宋_GB2312"/>
          <w:b w:val="0"/>
          <w:bCs w:val="0"/>
          <w:color w:val="auto"/>
          <w:sz w:val="32"/>
          <w:szCs w:val="32"/>
          <w:highlight w:val="none"/>
        </w:rPr>
        <w:t>对照清单签订《严格治考自律承诺书》，力促责任落实到人</w:t>
      </w:r>
      <w:r>
        <w:rPr>
          <w:rFonts w:hint="eastAsia" w:ascii="仿宋" w:hAnsi="仿宋" w:eastAsia="仿宋" w:cs="仿宋_GB2312"/>
          <w:b w:val="0"/>
          <w:bCs w:val="0"/>
          <w:color w:val="auto"/>
          <w:sz w:val="32"/>
          <w:szCs w:val="32"/>
          <w:highlight w:val="none"/>
          <w:lang w:eastAsia="zh-CN"/>
        </w:rPr>
        <w:t>；</w:t>
      </w:r>
      <w:r>
        <w:rPr>
          <w:rFonts w:hint="eastAsia" w:ascii="仿宋" w:hAnsi="仿宋" w:eastAsia="仿宋"/>
          <w:b w:val="0"/>
          <w:bCs w:val="0"/>
          <w:color w:val="auto"/>
          <w:sz w:val="32"/>
          <w:szCs w:val="32"/>
          <w:highlight w:val="none"/>
        </w:rPr>
        <w:t>二是分专业考前</w:t>
      </w:r>
      <w:r>
        <w:rPr>
          <w:rFonts w:ascii="仿宋" w:hAnsi="仿宋" w:eastAsia="仿宋"/>
          <w:b w:val="0"/>
          <w:bCs w:val="0"/>
          <w:color w:val="auto"/>
          <w:sz w:val="32"/>
          <w:szCs w:val="32"/>
          <w:highlight w:val="none"/>
        </w:rPr>
        <w:t>辅导到位</w:t>
      </w:r>
      <w:r>
        <w:rPr>
          <w:rFonts w:hint="eastAsia" w:ascii="仿宋" w:hAnsi="仿宋" w:eastAsia="仿宋"/>
          <w:b w:val="0"/>
          <w:bCs w:val="0"/>
          <w:color w:val="auto"/>
          <w:sz w:val="32"/>
          <w:szCs w:val="32"/>
          <w:highlight w:val="none"/>
          <w:lang w:eastAsia="zh-CN"/>
        </w:rPr>
        <w:t>；</w:t>
      </w:r>
      <w:r>
        <w:rPr>
          <w:rFonts w:hint="eastAsia" w:ascii="仿宋" w:hAnsi="仿宋" w:eastAsia="仿宋"/>
          <w:b w:val="0"/>
          <w:bCs w:val="0"/>
          <w:color w:val="auto"/>
          <w:sz w:val="32"/>
          <w:szCs w:val="32"/>
          <w:highlight w:val="none"/>
        </w:rPr>
        <w:t>三是严禁考生“三证”不齐全违规参加考试</w:t>
      </w:r>
      <w:r>
        <w:rPr>
          <w:rFonts w:hint="eastAsia" w:ascii="仿宋" w:hAnsi="仿宋" w:eastAsia="仿宋"/>
          <w:b w:val="0"/>
          <w:bCs w:val="0"/>
          <w:color w:val="auto"/>
          <w:sz w:val="32"/>
          <w:szCs w:val="32"/>
          <w:highlight w:val="none"/>
          <w:lang w:eastAsia="zh-CN"/>
        </w:rPr>
        <w:t>；</w:t>
      </w:r>
      <w:r>
        <w:rPr>
          <w:rFonts w:hint="eastAsia" w:ascii="仿宋" w:hAnsi="仿宋" w:eastAsia="仿宋"/>
          <w:b w:val="0"/>
          <w:bCs w:val="0"/>
          <w:color w:val="auto"/>
          <w:sz w:val="32"/>
          <w:szCs w:val="32"/>
          <w:highlight w:val="none"/>
        </w:rPr>
        <w:t>四是在考试时间内，考生与监考人员必须将手机等通讯工具放置在考场手机袋等指定位置内</w:t>
      </w:r>
      <w:r>
        <w:rPr>
          <w:rFonts w:hint="eastAsia" w:ascii="仿宋" w:hAnsi="仿宋" w:eastAsia="仿宋"/>
          <w:b w:val="0"/>
          <w:bCs w:val="0"/>
          <w:color w:val="auto"/>
          <w:sz w:val="32"/>
          <w:szCs w:val="32"/>
          <w:highlight w:val="none"/>
          <w:lang w:eastAsia="zh-CN"/>
        </w:rPr>
        <w:t>；</w:t>
      </w:r>
      <w:r>
        <w:rPr>
          <w:rFonts w:hint="eastAsia" w:ascii="仿宋" w:hAnsi="仿宋" w:eastAsia="仿宋"/>
          <w:b w:val="0"/>
          <w:bCs w:val="0"/>
          <w:color w:val="auto"/>
          <w:sz w:val="32"/>
          <w:szCs w:val="32"/>
          <w:highlight w:val="none"/>
        </w:rPr>
        <w:t>五是严禁无关人员进入划定考场范围内等影响学员正常考试行为</w:t>
      </w:r>
      <w:r>
        <w:rPr>
          <w:rFonts w:hint="eastAsia" w:ascii="仿宋" w:hAnsi="仿宋" w:eastAsia="仿宋"/>
          <w:b w:val="0"/>
          <w:bCs w:val="0"/>
          <w:color w:val="auto"/>
          <w:sz w:val="32"/>
          <w:szCs w:val="32"/>
          <w:highlight w:val="none"/>
          <w:lang w:eastAsia="zh-CN"/>
        </w:rPr>
        <w:t>；</w:t>
      </w:r>
      <w:r>
        <w:rPr>
          <w:rFonts w:hint="eastAsia" w:ascii="仿宋" w:hAnsi="仿宋" w:eastAsia="仿宋"/>
          <w:b w:val="0"/>
          <w:bCs w:val="0"/>
          <w:color w:val="auto"/>
          <w:sz w:val="32"/>
          <w:szCs w:val="32"/>
          <w:highlight w:val="none"/>
        </w:rPr>
        <w:t>六是严禁本考区出现有组织替考等违规行为。</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2019年起，实行“期末赴所辖教学点全过程、全方位巡蹲考”制度，与巡蹲考人员签订责任状，要求巡蹲考人员必须严格按照巡考要求，督促和协助教学点组织考试。省校飞巡组对</w:t>
      </w:r>
      <w:r>
        <w:rPr>
          <w:rFonts w:hint="eastAsia" w:ascii="仿宋" w:hAnsi="仿宋" w:eastAsia="仿宋"/>
          <w:color w:val="auto"/>
          <w:sz w:val="32"/>
          <w:szCs w:val="32"/>
          <w:highlight w:val="none"/>
          <w:lang w:val="en-US" w:eastAsia="zh-CN"/>
        </w:rPr>
        <w:t>校本部、吉安职业技术学院、井冈山职业教育中心、中共新干县委党校、泰和县教师进修学校5个考点</w:t>
      </w:r>
      <w:r>
        <w:rPr>
          <w:rFonts w:hint="eastAsia" w:ascii="仿宋" w:hAnsi="仿宋" w:eastAsia="仿宋"/>
          <w:color w:val="auto"/>
          <w:sz w:val="32"/>
          <w:szCs w:val="32"/>
          <w:highlight w:val="none"/>
        </w:rPr>
        <w:t>2020秋季考试工作进行检查，反映</w:t>
      </w:r>
      <w:r>
        <w:rPr>
          <w:rFonts w:hint="eastAsia" w:ascii="仿宋" w:hAnsi="仿宋" w:eastAsia="仿宋"/>
          <w:color w:val="auto"/>
          <w:sz w:val="32"/>
          <w:szCs w:val="32"/>
          <w:highlight w:val="none"/>
          <w:lang w:val="en-US" w:eastAsia="zh-CN"/>
        </w:rPr>
        <w:t>较</w:t>
      </w:r>
      <w:r>
        <w:rPr>
          <w:rFonts w:hint="eastAsia" w:ascii="仿宋" w:hAnsi="仿宋" w:eastAsia="仿宋"/>
          <w:color w:val="auto"/>
          <w:sz w:val="32"/>
          <w:szCs w:val="32"/>
          <w:highlight w:val="none"/>
        </w:rPr>
        <w:t>好。</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-5</w:t>
      </w:r>
      <w:r>
        <w:rPr>
          <w:rFonts w:hint="eastAsia" w:ascii="仿宋" w:hAnsi="仿宋" w:eastAsia="仿宋" w:cs="仿宋"/>
          <w:color w:val="auto"/>
          <w:kern w:val="0"/>
          <w:sz w:val="28"/>
          <w:szCs w:val="28"/>
          <w:highlight w:val="none"/>
          <w:lang w:val="en-US" w:eastAsia="zh-CN"/>
        </w:rPr>
        <w:t xml:space="preserve"> 2020年度</w:t>
      </w:r>
      <w:r>
        <w:rPr>
          <w:rFonts w:hint="eastAsia" w:ascii="仿宋" w:hAnsi="仿宋" w:eastAsia="仿宋" w:cs="仿宋"/>
          <w:color w:val="auto"/>
          <w:kern w:val="0"/>
          <w:sz w:val="28"/>
          <w:szCs w:val="28"/>
          <w:highlight w:val="none"/>
          <w:lang w:val="en-US" w:eastAsia="zh-CN" w:bidi="ar-SA"/>
        </w:rPr>
        <w:t>开放教育</w:t>
      </w:r>
      <w:r>
        <w:rPr>
          <w:rFonts w:hint="eastAsia" w:ascii="仿宋" w:hAnsi="仿宋" w:eastAsia="仿宋" w:cs="仿宋"/>
          <w:color w:val="auto"/>
          <w:kern w:val="0"/>
          <w:sz w:val="28"/>
          <w:szCs w:val="28"/>
          <w:highlight w:val="none"/>
        </w:rPr>
        <w:t>考试情况</w:t>
      </w:r>
    </w:p>
    <w:tbl>
      <w:tblPr>
        <w:tblStyle w:val="6"/>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考试季节</w:t>
            </w:r>
          </w:p>
        </w:tc>
        <w:tc>
          <w:tcPr>
            <w:tcW w:w="163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实考人数</w:t>
            </w:r>
          </w:p>
        </w:tc>
        <w:tc>
          <w:tcPr>
            <w:tcW w:w="17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实考率</w:t>
            </w:r>
          </w:p>
        </w:tc>
        <w:tc>
          <w:tcPr>
            <w:tcW w:w="178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合格人数</w:t>
            </w:r>
          </w:p>
        </w:tc>
        <w:tc>
          <w:tcPr>
            <w:tcW w:w="17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43628</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95.82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40551</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92.95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63299</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95.60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59958</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94.72 </w:t>
            </w:r>
          </w:p>
        </w:tc>
      </w:tr>
    </w:tbl>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6.教学检查结果</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-6 2020年度</w:t>
      </w:r>
      <w:r>
        <w:rPr>
          <w:rFonts w:hint="eastAsia" w:ascii="仿宋" w:hAnsi="仿宋" w:eastAsia="仿宋" w:cs="仿宋"/>
          <w:color w:val="auto"/>
          <w:kern w:val="0"/>
          <w:sz w:val="28"/>
          <w:szCs w:val="28"/>
          <w:highlight w:val="none"/>
          <w:lang w:eastAsia="zh-CN"/>
        </w:rPr>
        <w:t>国开</w:t>
      </w:r>
      <w:r>
        <w:rPr>
          <w:rFonts w:hint="eastAsia" w:ascii="仿宋" w:hAnsi="仿宋" w:eastAsia="仿宋" w:cs="仿宋"/>
          <w:color w:val="auto"/>
          <w:kern w:val="0"/>
          <w:sz w:val="28"/>
          <w:szCs w:val="28"/>
          <w:highlight w:val="none"/>
        </w:rPr>
        <w:t>学习网教学检查排名</w:t>
      </w:r>
    </w:p>
    <w:tbl>
      <w:tblPr>
        <w:tblStyle w:val="6"/>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8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64.3104243</w:t>
            </w:r>
          </w:p>
        </w:tc>
        <w:tc>
          <w:tcPr>
            <w:tcW w:w="218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宋体" w:hAnsi="宋体" w:eastAsia="宋体" w:cs="宋体"/>
                <w:b/>
                <w:i w:val="0"/>
                <w:color w:val="auto"/>
                <w:kern w:val="0"/>
                <w:sz w:val="24"/>
                <w:szCs w:val="24"/>
                <w:highlight w:val="none"/>
                <w:u w:val="none"/>
                <w:lang w:val="en-US" w:eastAsia="zh-CN" w:bidi="ar"/>
              </w:rPr>
              <w:t>1</w:t>
            </w:r>
          </w:p>
        </w:tc>
        <w:tc>
          <w:tcPr>
            <w:tcW w:w="2013"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75.0628236</w:t>
            </w:r>
          </w:p>
        </w:tc>
        <w:tc>
          <w:tcPr>
            <w:tcW w:w="212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宋体" w:hAnsi="宋体" w:eastAsia="宋体" w:cs="宋体"/>
                <w:b/>
                <w:i w:val="0"/>
                <w:color w:val="auto"/>
                <w:kern w:val="0"/>
                <w:sz w:val="24"/>
                <w:szCs w:val="24"/>
                <w:highlight w:val="none"/>
                <w:u w:val="none"/>
                <w:lang w:val="en-US" w:eastAsia="zh-CN" w:bidi="ar"/>
              </w:rPr>
              <w:t>1</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outlineLvl w:val="1"/>
        <w:rPr>
          <w:rFonts w:ascii="楷体" w:hAnsi="楷体" w:eastAsia="楷体" w:cs="楷体"/>
          <w:b w:val="0"/>
          <w:bCs w:val="0"/>
          <w:color w:val="auto"/>
          <w:kern w:val="0"/>
          <w:sz w:val="32"/>
          <w:szCs w:val="32"/>
          <w:highlight w:val="none"/>
        </w:rPr>
      </w:pPr>
      <w:r>
        <w:rPr>
          <w:rFonts w:hint="eastAsia" w:ascii="楷体" w:hAnsi="楷体" w:eastAsia="楷体" w:cs="楷体"/>
          <w:b w:val="0"/>
          <w:bCs w:val="0"/>
          <w:color w:val="auto"/>
          <w:kern w:val="0"/>
          <w:sz w:val="32"/>
          <w:szCs w:val="32"/>
          <w:highlight w:val="none"/>
        </w:rPr>
        <w:t>（五）思政教育和学生工作</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黑体" w:hAnsi="黑体" w:eastAsia="黑体" w:cs="黑体"/>
          <w:color w:val="auto"/>
          <w:sz w:val="32"/>
          <w:szCs w:val="32"/>
          <w:highlight w:val="none"/>
        </w:rPr>
      </w:pPr>
      <w:r>
        <w:rPr>
          <w:rFonts w:hint="eastAsia" w:ascii="仿宋" w:hAnsi="仿宋" w:eastAsia="仿宋" w:cs="宋体"/>
          <w:b w:val="0"/>
          <w:bCs/>
          <w:color w:val="auto"/>
          <w:kern w:val="0"/>
          <w:sz w:val="32"/>
          <w:szCs w:val="32"/>
          <w:highlight w:val="none"/>
        </w:rPr>
        <w:t>一是组建了一支思政教学团队</w:t>
      </w:r>
      <w:r>
        <w:rPr>
          <w:rFonts w:hint="eastAsia" w:ascii="仿宋" w:hAnsi="仿宋" w:eastAsia="仿宋" w:cs="宋体"/>
          <w:b w:val="0"/>
          <w:bCs/>
          <w:color w:val="auto"/>
          <w:kern w:val="0"/>
          <w:sz w:val="32"/>
          <w:szCs w:val="32"/>
          <w:highlight w:val="none"/>
          <w:lang w:eastAsia="zh-CN"/>
        </w:rPr>
        <w:t>：</w:t>
      </w:r>
      <w:r>
        <w:rPr>
          <w:rFonts w:hint="eastAsia" w:ascii="仿宋" w:hAnsi="仿宋" w:eastAsia="仿宋" w:cs="宋体"/>
          <w:b w:val="0"/>
          <w:bCs/>
          <w:color w:val="auto"/>
          <w:kern w:val="0"/>
          <w:sz w:val="32"/>
          <w:szCs w:val="32"/>
          <w:highlight w:val="none"/>
        </w:rPr>
        <w:t>以井冈山大学校长、国家二级教授、知名专家曾建平为成员的17人思政教学团队</w:t>
      </w:r>
      <w:r>
        <w:rPr>
          <w:rFonts w:hint="eastAsia" w:ascii="仿宋" w:hAnsi="仿宋" w:eastAsia="仿宋" w:cs="宋体"/>
          <w:b w:val="0"/>
          <w:bCs/>
          <w:color w:val="auto"/>
          <w:kern w:val="0"/>
          <w:sz w:val="32"/>
          <w:szCs w:val="32"/>
          <w:highlight w:val="none"/>
          <w:lang w:eastAsia="zh-CN"/>
        </w:rPr>
        <w:t>；</w:t>
      </w:r>
      <w:r>
        <w:rPr>
          <w:rFonts w:hint="eastAsia" w:ascii="仿宋" w:hAnsi="仿宋" w:eastAsia="仿宋" w:cs="宋体"/>
          <w:b w:val="0"/>
          <w:bCs/>
          <w:color w:val="auto"/>
          <w:kern w:val="0"/>
          <w:sz w:val="32"/>
          <w:szCs w:val="32"/>
          <w:highlight w:val="none"/>
        </w:rPr>
        <w:t>二是明确新生入校的第一堂必修思政课</w:t>
      </w:r>
      <w:r>
        <w:rPr>
          <w:rFonts w:hint="eastAsia" w:ascii="仿宋" w:hAnsi="仿宋" w:eastAsia="仿宋" w:cs="宋体"/>
          <w:b w:val="0"/>
          <w:bCs/>
          <w:color w:val="auto"/>
          <w:kern w:val="0"/>
          <w:sz w:val="32"/>
          <w:szCs w:val="32"/>
          <w:highlight w:val="none"/>
          <w:lang w:eastAsia="zh-CN"/>
        </w:rPr>
        <w:t>——</w:t>
      </w:r>
      <w:r>
        <w:rPr>
          <w:rFonts w:hint="eastAsia" w:ascii="仿宋" w:hAnsi="仿宋" w:eastAsia="仿宋"/>
          <w:b w:val="0"/>
          <w:bCs/>
          <w:color w:val="auto"/>
          <w:sz w:val="32"/>
          <w:szCs w:val="32"/>
          <w:highlight w:val="none"/>
        </w:rPr>
        <w:t>赴井冈山大学“井冈山精神”大型展览馆现场教学</w:t>
      </w:r>
      <w:r>
        <w:rPr>
          <w:rFonts w:hint="eastAsia" w:ascii="仿宋" w:hAnsi="仿宋" w:eastAsia="仿宋"/>
          <w:b w:val="0"/>
          <w:bCs/>
          <w:color w:val="auto"/>
          <w:sz w:val="32"/>
          <w:szCs w:val="32"/>
          <w:highlight w:val="none"/>
          <w:lang w:eastAsia="zh-CN"/>
        </w:rPr>
        <w:t>；</w:t>
      </w:r>
      <w:r>
        <w:rPr>
          <w:rFonts w:hint="eastAsia" w:ascii="仿宋" w:hAnsi="仿宋" w:eastAsia="仿宋" w:cs="宋体"/>
          <w:b w:val="0"/>
          <w:bCs/>
          <w:color w:val="auto"/>
          <w:kern w:val="0"/>
          <w:sz w:val="32"/>
          <w:szCs w:val="32"/>
          <w:highlight w:val="none"/>
        </w:rPr>
        <w:t>三是</w:t>
      </w:r>
      <w:r>
        <w:rPr>
          <w:rFonts w:hint="eastAsia" w:ascii="仿宋" w:hAnsi="仿宋" w:eastAsia="仿宋"/>
          <w:b w:val="0"/>
          <w:bCs/>
          <w:color w:val="auto"/>
          <w:sz w:val="32"/>
          <w:szCs w:val="32"/>
          <w:highlight w:val="none"/>
        </w:rPr>
        <w:t>借助国家开放大学在吉安电大设立“思想政治教育基地”之机，通过组织国家开放大学各分部、学院、学习中心教师、学生开展传承弘扬红色文化研讨、交流等活动，推动红色文化资源转化为各级各类学校办学育人资源，扎实做好红色文化进校园、进课堂、进头脑工作。</w:t>
      </w:r>
    </w:p>
    <w:p>
      <w:pPr>
        <w:pStyle w:val="2"/>
        <w:keepNext w:val="0"/>
        <w:keepLines w:val="0"/>
        <w:pageBreakBefore w:val="0"/>
        <w:numPr>
          <w:ilvl w:val="0"/>
          <w:numId w:val="2"/>
        </w:numPr>
        <w:kinsoku/>
        <w:wordWrap/>
        <w:overflowPunct/>
        <w:topLinePunct w:val="0"/>
        <w:autoSpaceDE/>
        <w:autoSpaceDN/>
        <w:bidi w:val="0"/>
        <w:spacing w:after="0"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办学条件</w:t>
      </w:r>
    </w:p>
    <w:p>
      <w:pPr>
        <w:pStyle w:val="2"/>
        <w:keepNext w:val="0"/>
        <w:keepLines w:val="0"/>
        <w:pageBreakBefore w:val="0"/>
        <w:kinsoku/>
        <w:wordWrap/>
        <w:overflowPunct/>
        <w:topLinePunct w:val="0"/>
        <w:autoSpaceDE/>
        <w:autoSpaceDN/>
        <w:bidi w:val="0"/>
        <w:spacing w:after="0" w:line="560" w:lineRule="exact"/>
        <w:ind w:left="42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（一）办学场地与设施</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 w:eastAsia="仿宋_GB2312" w:cs="仿宋_GB2312"/>
          <w:color w:val="auto"/>
          <w:sz w:val="32"/>
          <w:szCs w:val="32"/>
          <w:highlight w:val="none"/>
        </w:rPr>
      </w:pPr>
      <w:r>
        <w:rPr>
          <w:rFonts w:ascii="仿宋_GB2312" w:hAnsi="仿宋" w:eastAsia="仿宋_GB2312" w:cs="仿宋_GB2312"/>
          <w:color w:val="auto"/>
          <w:sz w:val="32"/>
          <w:szCs w:val="32"/>
          <w:highlight w:val="none"/>
        </w:rPr>
        <w:t>校园面积30亩，建筑面积1.7万平方米</w:t>
      </w:r>
      <w:r>
        <w:rPr>
          <w:rFonts w:hint="eastAsia" w:ascii="仿宋_GB2312" w:hAnsi="仿宋" w:eastAsia="仿宋_GB2312" w:cs="仿宋_GB2312"/>
          <w:color w:val="auto"/>
          <w:sz w:val="32"/>
          <w:szCs w:val="32"/>
          <w:highlight w:val="none"/>
        </w:rPr>
        <w:t>，建有教学楼、办公楼，</w:t>
      </w:r>
      <w:r>
        <w:rPr>
          <w:rFonts w:ascii="仿宋_GB2312" w:hAnsi="仿宋" w:eastAsia="仿宋_GB2312" w:cs="仿宋_GB2312"/>
          <w:color w:val="auto"/>
          <w:sz w:val="32"/>
          <w:szCs w:val="32"/>
          <w:highlight w:val="none"/>
        </w:rPr>
        <w:t>匹配有</w:t>
      </w:r>
      <w:r>
        <w:rPr>
          <w:rFonts w:hint="eastAsia" w:ascii="仿宋_GB2312" w:hAnsi="仿宋" w:eastAsia="仿宋_GB2312" w:cs="仿宋_GB2312"/>
          <w:color w:val="auto"/>
          <w:sz w:val="32"/>
          <w:szCs w:val="32"/>
          <w:highlight w:val="none"/>
        </w:rPr>
        <w:t>多媒体教室2</w:t>
      </w:r>
      <w:r>
        <w:rPr>
          <w:rFonts w:ascii="仿宋_GB2312" w:hAnsi="仿宋" w:eastAsia="仿宋_GB2312" w:cs="仿宋_GB2312"/>
          <w:color w:val="auto"/>
          <w:sz w:val="32"/>
          <w:szCs w:val="32"/>
          <w:highlight w:val="none"/>
        </w:rPr>
        <w:t>1</w:t>
      </w:r>
      <w:r>
        <w:rPr>
          <w:rFonts w:hint="eastAsia" w:ascii="仿宋_GB2312" w:hAnsi="仿宋" w:eastAsia="仿宋_GB2312" w:cs="仿宋_GB2312"/>
          <w:color w:val="auto"/>
          <w:sz w:val="32"/>
          <w:szCs w:val="32"/>
          <w:highlight w:val="none"/>
        </w:rPr>
        <w:t>间，教学用电脑2</w:t>
      </w:r>
      <w:r>
        <w:rPr>
          <w:rFonts w:ascii="仿宋_GB2312" w:hAnsi="仿宋" w:eastAsia="仿宋_GB2312" w:cs="仿宋_GB2312"/>
          <w:color w:val="auto"/>
          <w:sz w:val="32"/>
          <w:szCs w:val="32"/>
          <w:highlight w:val="none"/>
        </w:rPr>
        <w:t>40</w:t>
      </w:r>
      <w:r>
        <w:rPr>
          <w:rFonts w:hint="eastAsia" w:ascii="仿宋_GB2312" w:hAnsi="仿宋" w:eastAsia="仿宋_GB2312" w:cs="仿宋_GB2312"/>
          <w:color w:val="auto"/>
          <w:sz w:val="32"/>
          <w:szCs w:val="32"/>
          <w:highlight w:val="none"/>
        </w:rPr>
        <w:t>台，云教室、标准化体育运动场等。</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表3-1 2020年度</w:t>
      </w:r>
      <w:r>
        <w:rPr>
          <w:rFonts w:hint="eastAsia" w:ascii="仿宋" w:hAnsi="仿宋" w:eastAsia="仿宋" w:cs="仿宋"/>
          <w:color w:val="auto"/>
          <w:kern w:val="0"/>
          <w:sz w:val="28"/>
          <w:szCs w:val="28"/>
          <w:highlight w:val="none"/>
          <w:lang w:eastAsia="zh-CN"/>
        </w:rPr>
        <w:t>办学场地与设施</w:t>
      </w:r>
    </w:p>
    <w:tbl>
      <w:tblPr>
        <w:tblStyle w:val="5"/>
        <w:tblW w:w="8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995"/>
        <w:gridCol w:w="1255"/>
        <w:gridCol w:w="952"/>
        <w:gridCol w:w="840"/>
        <w:gridCol w:w="840"/>
        <w:gridCol w:w="840"/>
        <w:gridCol w:w="840"/>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exact"/>
          <w:jc w:val="center"/>
        </w:trPr>
        <w:tc>
          <w:tcPr>
            <w:tcW w:w="139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p>
        </w:tc>
        <w:tc>
          <w:tcPr>
            <w:tcW w:w="995"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办学场地面积</w:t>
            </w:r>
          </w:p>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（亩）</w:t>
            </w:r>
          </w:p>
        </w:tc>
        <w:tc>
          <w:tcPr>
            <w:tcW w:w="1255"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办学用房面积（平方米）</w:t>
            </w:r>
          </w:p>
        </w:tc>
        <w:tc>
          <w:tcPr>
            <w:tcW w:w="952"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办学用房生均面积（平方米）</w:t>
            </w:r>
          </w:p>
        </w:tc>
        <w:tc>
          <w:tcPr>
            <w:tcW w:w="84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能容纳</w:t>
            </w:r>
            <w:r>
              <w:rPr>
                <w:rFonts w:hint="eastAsia" w:ascii="仿宋_GB2312" w:hAnsi="仿宋_GB2312" w:eastAsia="仿宋_GB2312" w:cs="仿宋_GB2312"/>
                <w:color w:val="auto"/>
                <w:sz w:val="28"/>
                <w:szCs w:val="28"/>
                <w:highlight w:val="none"/>
                <w:u w:val="single"/>
                <w:lang w:val="en-US" w:eastAsia="zh-CN"/>
              </w:rPr>
              <w:t>30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人的教室间数</w:t>
            </w:r>
          </w:p>
        </w:tc>
        <w:tc>
          <w:tcPr>
            <w:tcW w:w="84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在籍生数与教室数比</w:t>
            </w:r>
          </w:p>
        </w:tc>
        <w:tc>
          <w:tcPr>
            <w:tcW w:w="84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计算机台数</w:t>
            </w:r>
          </w:p>
        </w:tc>
        <w:tc>
          <w:tcPr>
            <w:tcW w:w="840"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在籍生数与计算机数比</w:t>
            </w:r>
          </w:p>
        </w:tc>
        <w:tc>
          <w:tcPr>
            <w:tcW w:w="841"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jc w:val="center"/>
        </w:trPr>
        <w:tc>
          <w:tcPr>
            <w:tcW w:w="139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995"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30</w:t>
            </w:r>
          </w:p>
        </w:tc>
        <w:tc>
          <w:tcPr>
            <w:tcW w:w="1255"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17000</w:t>
            </w:r>
          </w:p>
        </w:tc>
        <w:tc>
          <w:tcPr>
            <w:tcW w:w="952"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1.21</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25</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0.18</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240</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w:t>
            </w:r>
          </w:p>
        </w:tc>
        <w:tc>
          <w:tcPr>
            <w:tcW w:w="841"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139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全省排名</w:t>
            </w:r>
          </w:p>
        </w:tc>
        <w:tc>
          <w:tcPr>
            <w:tcW w:w="995"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255"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52"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840"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841" w:type="dxa"/>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bl>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576" w:lineRule="exact"/>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师资队伍</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仿宋"/>
          <w:color w:val="auto"/>
          <w:sz w:val="28"/>
          <w:szCs w:val="28"/>
          <w:highlight w:val="none"/>
        </w:rPr>
      </w:pPr>
      <w:r>
        <w:rPr>
          <w:rFonts w:hint="eastAsia" w:ascii="仿宋" w:hAnsi="仿宋" w:eastAsia="仿宋" w:cs="仿宋_GB2312"/>
          <w:color w:val="auto"/>
          <w:sz w:val="32"/>
          <w:szCs w:val="32"/>
          <w:highlight w:val="none"/>
        </w:rPr>
        <w:t>吉安</w:t>
      </w:r>
      <w:r>
        <w:rPr>
          <w:rFonts w:hint="eastAsia" w:ascii="仿宋" w:hAnsi="仿宋" w:eastAsia="仿宋" w:cs="仿宋_GB2312"/>
          <w:color w:val="auto"/>
          <w:sz w:val="32"/>
          <w:szCs w:val="32"/>
          <w:highlight w:val="none"/>
          <w:lang w:eastAsia="zh-CN"/>
        </w:rPr>
        <w:t>市分校</w:t>
      </w:r>
      <w:r>
        <w:rPr>
          <w:rFonts w:hint="eastAsia" w:ascii="仿宋" w:hAnsi="仿宋" w:eastAsia="仿宋"/>
          <w:color w:val="auto"/>
          <w:sz w:val="32"/>
          <w:szCs w:val="32"/>
          <w:highlight w:val="none"/>
        </w:rPr>
        <w:t>隶属井冈山大学，完全共享井冈山大学丰富的教师资源，能够充分整合区域资源，优化机制、引培并举，优化师资队伍结构。</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表3-2 2020</w:t>
      </w:r>
      <w:r>
        <w:rPr>
          <w:rFonts w:hint="eastAsia" w:ascii="仿宋" w:hAnsi="仿宋" w:eastAsia="仿宋" w:cs="仿宋"/>
          <w:color w:val="auto"/>
          <w:sz w:val="28"/>
          <w:szCs w:val="28"/>
          <w:highlight w:val="none"/>
          <w:lang w:eastAsia="zh-CN"/>
        </w:rPr>
        <w:t>年度</w:t>
      </w:r>
      <w:r>
        <w:rPr>
          <w:rFonts w:hint="eastAsia" w:ascii="仿宋" w:hAnsi="仿宋" w:eastAsia="仿宋" w:cs="仿宋"/>
          <w:color w:val="auto"/>
          <w:sz w:val="28"/>
          <w:szCs w:val="28"/>
          <w:highlight w:val="none"/>
        </w:rPr>
        <w:t>教师情况</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校内教师数量与结构</w:t>
      </w:r>
    </w:p>
    <w:tbl>
      <w:tblPr>
        <w:tblStyle w:val="5"/>
        <w:tblW w:w="8390" w:type="dxa"/>
        <w:tblInd w:w="0" w:type="dxa"/>
        <w:tblLayout w:type="fixed"/>
        <w:tblCellMar>
          <w:top w:w="0" w:type="dxa"/>
          <w:left w:w="108" w:type="dxa"/>
          <w:bottom w:w="0" w:type="dxa"/>
          <w:right w:w="108" w:type="dxa"/>
        </w:tblCellMar>
      </w:tblPr>
      <w:tblGrid>
        <w:gridCol w:w="1074"/>
        <w:gridCol w:w="662"/>
        <w:gridCol w:w="850"/>
        <w:gridCol w:w="851"/>
        <w:gridCol w:w="850"/>
        <w:gridCol w:w="851"/>
        <w:gridCol w:w="666"/>
        <w:gridCol w:w="739"/>
        <w:gridCol w:w="675"/>
        <w:gridCol w:w="608"/>
        <w:gridCol w:w="564"/>
      </w:tblGrid>
      <w:tr>
        <w:tblPrEx>
          <w:tblCellMar>
            <w:top w:w="0" w:type="dxa"/>
            <w:left w:w="108" w:type="dxa"/>
            <w:bottom w:w="0" w:type="dxa"/>
            <w:right w:w="108" w:type="dxa"/>
          </w:tblCellMar>
        </w:tblPrEx>
        <w:trPr>
          <w:trHeight w:val="655" w:hRule="atLeast"/>
        </w:trPr>
        <w:tc>
          <w:tcPr>
            <w:tcW w:w="1074"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62"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74"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662"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675"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608"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4" w:hRule="exact"/>
        </w:trPr>
        <w:tc>
          <w:tcPr>
            <w:tcW w:w="10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6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219</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139</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19</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69</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81</w:t>
            </w:r>
          </w:p>
        </w:tc>
        <w:tc>
          <w:tcPr>
            <w:tcW w:w="67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216</w:t>
            </w:r>
          </w:p>
        </w:tc>
        <w:tc>
          <w:tcPr>
            <w:tcW w:w="6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1170" w:hRule="atLeast"/>
        </w:trPr>
        <w:tc>
          <w:tcPr>
            <w:tcW w:w="10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6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166</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32</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62</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54</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w:t>
            </w:r>
          </w:p>
        </w:tc>
        <w:tc>
          <w:tcPr>
            <w:tcW w:w="67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96</w:t>
            </w:r>
          </w:p>
        </w:tc>
        <w:tc>
          <w:tcPr>
            <w:tcW w:w="6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59</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r>
    </w:tbl>
    <w:p>
      <w:pPr>
        <w:keepNext w:val="0"/>
        <w:keepLines w:val="0"/>
        <w:pageBreakBefore w:val="0"/>
        <w:widowControl/>
        <w:kinsoku/>
        <w:wordWrap/>
        <w:overflowPunct/>
        <w:topLinePunct w:val="0"/>
        <w:autoSpaceDE/>
        <w:autoSpaceDN/>
        <w:bidi w:val="0"/>
        <w:adjustRightInd w:val="0"/>
        <w:snapToGrid w:val="0"/>
        <w:spacing w:line="560" w:lineRule="exact"/>
        <w:jc w:val="both"/>
        <w:textAlignment w:val="center"/>
        <w:rPr>
          <w:rFonts w:hint="eastAsia" w:ascii="仿宋" w:hAnsi="仿宋" w:eastAsia="仿宋" w:cs="仿宋"/>
          <w:color w:val="auto"/>
          <w:kern w:val="0"/>
          <w:sz w:val="28"/>
          <w:szCs w:val="28"/>
          <w:highlight w:val="none"/>
        </w:rPr>
      </w:pP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校外聘任教师数量与结构</w:t>
      </w:r>
    </w:p>
    <w:tbl>
      <w:tblPr>
        <w:tblStyle w:val="5"/>
        <w:tblW w:w="8390" w:type="dxa"/>
        <w:tblInd w:w="0" w:type="dxa"/>
        <w:tblLayout w:type="fixed"/>
        <w:tblCellMar>
          <w:top w:w="0" w:type="dxa"/>
          <w:left w:w="108" w:type="dxa"/>
          <w:bottom w:w="0" w:type="dxa"/>
          <w:right w:w="108" w:type="dxa"/>
        </w:tblCellMar>
      </w:tblPr>
      <w:tblGrid>
        <w:gridCol w:w="1094"/>
        <w:gridCol w:w="642"/>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094"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42"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94"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642"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4" w:hRule="exact"/>
        </w:trPr>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4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1200" w:hRule="atLeast"/>
        </w:trPr>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4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85</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45</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34</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四、科学研究和特色创新</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576" w:lineRule="exact"/>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科</w:t>
      </w:r>
      <w:r>
        <w:rPr>
          <w:rFonts w:hint="eastAsia" w:ascii="楷体" w:hAnsi="楷体" w:eastAsia="楷体" w:cs="楷体"/>
          <w:b w:val="0"/>
          <w:bCs w:val="0"/>
          <w:color w:val="auto"/>
          <w:sz w:val="32"/>
          <w:szCs w:val="32"/>
          <w:highlight w:val="none"/>
          <w:lang w:eastAsia="zh-CN"/>
        </w:rPr>
        <w:t>学研究</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重视发挥科研工作的引领与服务作用，安排专人负责科研工作，结合电大特色，参照执行井冈山大学科研项目管理办法，出台《</w:t>
      </w:r>
      <w:r>
        <w:rPr>
          <w:rFonts w:hint="eastAsia" w:ascii="仿宋" w:hAnsi="仿宋" w:eastAsia="仿宋" w:cs="仿宋_GB2312"/>
          <w:color w:val="auto"/>
          <w:sz w:val="32"/>
          <w:szCs w:val="32"/>
          <w:highlight w:val="none"/>
        </w:rPr>
        <w:t>吉安</w:t>
      </w:r>
      <w:r>
        <w:rPr>
          <w:rFonts w:hint="eastAsia" w:ascii="仿宋" w:hAnsi="仿宋" w:eastAsia="仿宋" w:cs="仿宋_GB2312"/>
          <w:color w:val="auto"/>
          <w:sz w:val="32"/>
          <w:szCs w:val="32"/>
          <w:highlight w:val="none"/>
          <w:lang w:eastAsia="zh-CN"/>
        </w:rPr>
        <w:t>市分校</w:t>
      </w:r>
      <w:r>
        <w:rPr>
          <w:rFonts w:hint="eastAsia" w:ascii="仿宋" w:hAnsi="仿宋" w:eastAsia="仿宋" w:cs="宋体"/>
          <w:color w:val="auto"/>
          <w:kern w:val="0"/>
          <w:sz w:val="32"/>
          <w:szCs w:val="32"/>
          <w:highlight w:val="none"/>
        </w:rPr>
        <w:t>关于参照执行井冈山大学科研项目相关管理办法的通知》，初步搭建科研管理平台。</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576" w:lineRule="exact"/>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科研成果和获奖情况</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1</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荣获第六届中国国际“互联网+”大学生创新创业大赛江西广播电视大学校赛二等奖。</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ascii="仿宋" w:hAnsi="仿宋" w:eastAsia="仿宋" w:cs="宋体"/>
          <w:color w:val="auto"/>
          <w:kern w:val="0"/>
          <w:sz w:val="32"/>
          <w:szCs w:val="32"/>
          <w:highlight w:val="none"/>
        </w:rPr>
        <w:t>2</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曾琼芳获</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中国创翼</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创新创业大赛国赛优秀奖、省赛二等奖。</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ascii="仿宋" w:hAnsi="仿宋" w:eastAsia="仿宋" w:cs="宋体"/>
          <w:color w:val="auto"/>
          <w:kern w:val="0"/>
          <w:sz w:val="32"/>
          <w:szCs w:val="32"/>
          <w:highlight w:val="none"/>
        </w:rPr>
        <w:t>3</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仰和芝荣获江西省第十八次社会科学优秀成果奖获奖（二等奖）。</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4</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艾永平等老师在S</w:t>
      </w:r>
      <w:r>
        <w:rPr>
          <w:rFonts w:ascii="仿宋" w:hAnsi="仿宋" w:eastAsia="仿宋" w:cs="宋体"/>
          <w:color w:val="auto"/>
          <w:kern w:val="0"/>
          <w:sz w:val="32"/>
          <w:szCs w:val="32"/>
          <w:highlight w:val="none"/>
        </w:rPr>
        <w:t>CI</w:t>
      </w:r>
      <w:r>
        <w:rPr>
          <w:rFonts w:hint="eastAsia" w:ascii="仿宋" w:hAnsi="仿宋" w:eastAsia="仿宋" w:cs="宋体"/>
          <w:color w:val="auto"/>
          <w:kern w:val="0"/>
          <w:sz w:val="32"/>
          <w:szCs w:val="32"/>
          <w:highlight w:val="none"/>
        </w:rPr>
        <w:t>期刊上发表了《</w:t>
      </w:r>
      <w:r>
        <w:rPr>
          <w:rFonts w:ascii="仿宋" w:hAnsi="仿宋" w:eastAsia="仿宋" w:cs="宋体"/>
          <w:color w:val="auto"/>
          <w:kern w:val="0"/>
          <w:sz w:val="32"/>
          <w:szCs w:val="32"/>
          <w:highlight w:val="none"/>
        </w:rPr>
        <w:t>Hydration Mechanism of Gypsum–Slag Gel Materials</w:t>
      </w:r>
      <w:r>
        <w:rPr>
          <w:rFonts w:hint="eastAsia" w:ascii="仿宋" w:hAnsi="仿宋" w:eastAsia="仿宋" w:cs="宋体"/>
          <w:color w:val="auto"/>
          <w:kern w:val="0"/>
          <w:sz w:val="32"/>
          <w:szCs w:val="32"/>
          <w:highlight w:val="none"/>
        </w:rPr>
        <w:t>》等六篇核心期刊论文。</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576" w:lineRule="exact"/>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实践模式与特色创新</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宋体"/>
          <w:b w:val="0"/>
          <w:bCs w:val="0"/>
          <w:color w:val="auto"/>
          <w:kern w:val="0"/>
          <w:sz w:val="32"/>
          <w:szCs w:val="32"/>
          <w:highlight w:val="none"/>
        </w:rPr>
      </w:pPr>
      <w:r>
        <w:rPr>
          <w:rFonts w:hint="eastAsia" w:ascii="仿宋" w:hAnsi="仿宋" w:eastAsia="仿宋" w:cs="宋体"/>
          <w:b w:val="0"/>
          <w:bCs w:val="0"/>
          <w:color w:val="auto"/>
          <w:kern w:val="0"/>
          <w:sz w:val="32"/>
          <w:szCs w:val="32"/>
          <w:highlight w:val="none"/>
          <w:lang w:val="en-US" w:eastAsia="zh-CN"/>
        </w:rPr>
        <w:t>1.高职扩招获肯定。</w:t>
      </w:r>
      <w:r>
        <w:rPr>
          <w:rFonts w:hint="eastAsia" w:ascii="仿宋" w:hAnsi="仿宋" w:eastAsia="仿宋" w:cs="宋体"/>
          <w:b w:val="0"/>
          <w:bCs w:val="0"/>
          <w:color w:val="auto"/>
          <w:kern w:val="0"/>
          <w:sz w:val="32"/>
          <w:szCs w:val="32"/>
          <w:highlight w:val="none"/>
        </w:rPr>
        <w:t>一是悟透高职扩招政策要领，分析学情，</w:t>
      </w:r>
      <w:r>
        <w:rPr>
          <w:rFonts w:hint="eastAsia" w:ascii="仿宋" w:hAnsi="仿宋" w:eastAsia="仿宋" w:cs="宋体"/>
          <w:b w:val="0"/>
          <w:bCs w:val="0"/>
          <w:color w:val="auto"/>
          <w:kern w:val="0"/>
          <w:sz w:val="32"/>
          <w:szCs w:val="32"/>
          <w:highlight w:val="none"/>
          <w:lang w:val="en-US" w:eastAsia="zh-CN"/>
        </w:rPr>
        <w:t>对应</w:t>
      </w:r>
      <w:r>
        <w:rPr>
          <w:rFonts w:hint="eastAsia" w:ascii="仿宋" w:hAnsi="仿宋" w:eastAsia="仿宋" w:cs="宋体"/>
          <w:b w:val="0"/>
          <w:bCs w:val="0"/>
          <w:color w:val="auto"/>
          <w:kern w:val="0"/>
          <w:sz w:val="32"/>
          <w:szCs w:val="32"/>
          <w:highlight w:val="none"/>
        </w:rPr>
        <w:t>问题，建章立制</w:t>
      </w:r>
      <w:r>
        <w:rPr>
          <w:rFonts w:hint="eastAsia" w:ascii="仿宋" w:hAnsi="仿宋" w:eastAsia="仿宋" w:cs="宋体"/>
          <w:b w:val="0"/>
          <w:bCs w:val="0"/>
          <w:color w:val="auto"/>
          <w:kern w:val="0"/>
          <w:sz w:val="32"/>
          <w:szCs w:val="32"/>
          <w:highlight w:val="none"/>
          <w:lang w:eastAsia="zh-CN"/>
        </w:rPr>
        <w:t>。</w:t>
      </w:r>
      <w:r>
        <w:rPr>
          <w:rFonts w:hint="eastAsia" w:ascii="仿宋" w:hAnsi="仿宋" w:eastAsia="仿宋" w:cs="宋体"/>
          <w:b w:val="0"/>
          <w:bCs w:val="0"/>
          <w:color w:val="auto"/>
          <w:kern w:val="0"/>
          <w:sz w:val="32"/>
          <w:szCs w:val="32"/>
          <w:highlight w:val="none"/>
        </w:rPr>
        <w:t>二是针对相当部分学生学习思想认识不到位，求学欲望欠缺，多方位做实做细学生管理工作，大胆提出“对照症结找答案，缺技能学技能考技能”，并确定两步走目标，第一步是动员学生进教室入考场，关键在做通学生“能学懂且学了有用”，落实期为第</w:t>
      </w:r>
      <w:r>
        <w:rPr>
          <w:rFonts w:hint="eastAsia" w:ascii="仿宋" w:hAnsi="仿宋" w:eastAsia="仿宋" w:cs="宋体"/>
          <w:b w:val="0"/>
          <w:bCs w:val="0"/>
          <w:color w:val="auto"/>
          <w:kern w:val="0"/>
          <w:sz w:val="32"/>
          <w:szCs w:val="32"/>
          <w:highlight w:val="none"/>
          <w:lang w:val="en-US" w:eastAsia="zh-CN"/>
        </w:rPr>
        <w:t>1</w:t>
      </w:r>
      <w:r>
        <w:rPr>
          <w:rFonts w:hint="eastAsia" w:ascii="仿宋" w:hAnsi="仿宋" w:eastAsia="仿宋" w:cs="宋体"/>
          <w:b w:val="0"/>
          <w:bCs w:val="0"/>
          <w:color w:val="auto"/>
          <w:kern w:val="0"/>
          <w:sz w:val="32"/>
          <w:szCs w:val="32"/>
          <w:highlight w:val="none"/>
        </w:rPr>
        <w:t>学年；第二阶段是学生学了还想来，关键在学生看到了只要学，就会“能力有提升、职务有变化、收入有增加”，落实期为第</w:t>
      </w:r>
      <w:r>
        <w:rPr>
          <w:rFonts w:hint="eastAsia" w:ascii="仿宋" w:hAnsi="仿宋" w:eastAsia="仿宋" w:cs="宋体"/>
          <w:b w:val="0"/>
          <w:bCs w:val="0"/>
          <w:color w:val="auto"/>
          <w:kern w:val="0"/>
          <w:sz w:val="32"/>
          <w:szCs w:val="32"/>
          <w:highlight w:val="none"/>
          <w:lang w:val="en-US" w:eastAsia="zh-CN"/>
        </w:rPr>
        <w:t>2</w:t>
      </w:r>
      <w:r>
        <w:rPr>
          <w:rFonts w:hint="eastAsia" w:ascii="仿宋" w:hAnsi="仿宋" w:eastAsia="仿宋" w:cs="宋体"/>
          <w:b w:val="0"/>
          <w:bCs w:val="0"/>
          <w:color w:val="auto"/>
          <w:kern w:val="0"/>
          <w:sz w:val="32"/>
          <w:szCs w:val="32"/>
          <w:highlight w:val="none"/>
        </w:rPr>
        <w:t>学年。</w:t>
      </w:r>
      <w:r>
        <w:rPr>
          <w:rFonts w:hint="eastAsia" w:ascii="仿宋" w:hAnsi="仿宋" w:eastAsia="仿宋" w:cs="宋体"/>
          <w:b w:val="0"/>
          <w:bCs w:val="0"/>
          <w:color w:val="auto"/>
          <w:kern w:val="0"/>
          <w:sz w:val="32"/>
          <w:szCs w:val="32"/>
          <w:highlight w:val="none"/>
          <w:lang w:eastAsia="zh-CN"/>
        </w:rPr>
        <w:t>省校校领导</w:t>
      </w:r>
      <w:r>
        <w:rPr>
          <w:rFonts w:hint="eastAsia" w:ascii="仿宋" w:hAnsi="仿宋" w:eastAsia="仿宋" w:cs="宋体"/>
          <w:b w:val="0"/>
          <w:bCs w:val="0"/>
          <w:color w:val="auto"/>
          <w:kern w:val="0"/>
          <w:sz w:val="32"/>
          <w:szCs w:val="32"/>
          <w:highlight w:val="none"/>
        </w:rPr>
        <w:t>从“理念新、情况明、方法多、措施实”四个方面，对</w:t>
      </w:r>
      <w:r>
        <w:rPr>
          <w:rFonts w:hint="eastAsia" w:ascii="仿宋" w:hAnsi="仿宋" w:eastAsia="仿宋" w:cs="仿宋_GB2312"/>
          <w:b w:val="0"/>
          <w:bCs w:val="0"/>
          <w:color w:val="auto"/>
          <w:sz w:val="32"/>
          <w:szCs w:val="32"/>
          <w:highlight w:val="none"/>
        </w:rPr>
        <w:t>吉安</w:t>
      </w:r>
      <w:r>
        <w:rPr>
          <w:rFonts w:hint="eastAsia" w:ascii="仿宋" w:hAnsi="仿宋" w:eastAsia="仿宋" w:cs="仿宋_GB2312"/>
          <w:b w:val="0"/>
          <w:bCs w:val="0"/>
          <w:color w:val="auto"/>
          <w:sz w:val="32"/>
          <w:szCs w:val="32"/>
          <w:highlight w:val="none"/>
          <w:lang w:eastAsia="zh-CN"/>
        </w:rPr>
        <w:t>市分校</w:t>
      </w:r>
      <w:r>
        <w:rPr>
          <w:rFonts w:hint="eastAsia" w:ascii="仿宋" w:hAnsi="仿宋" w:eastAsia="仿宋" w:cs="宋体"/>
          <w:b w:val="0"/>
          <w:bCs w:val="0"/>
          <w:color w:val="auto"/>
          <w:kern w:val="0"/>
          <w:sz w:val="32"/>
          <w:szCs w:val="32"/>
          <w:highlight w:val="none"/>
        </w:rPr>
        <w:t>高职扩招工作给予了高度评价和充分肯定。</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default" w:ascii="仿宋" w:hAnsi="仿宋" w:eastAsia="仿宋" w:cs="宋体"/>
          <w:color w:val="auto"/>
          <w:kern w:val="0"/>
          <w:sz w:val="32"/>
          <w:szCs w:val="32"/>
          <w:highlight w:val="none"/>
          <w:lang w:val="en-US" w:eastAsia="zh-CN"/>
        </w:rPr>
      </w:pPr>
      <w:r>
        <w:rPr>
          <w:rFonts w:hint="eastAsia" w:ascii="仿宋" w:hAnsi="仿宋" w:eastAsia="仿宋" w:cs="宋体"/>
          <w:color w:val="auto"/>
          <w:kern w:val="0"/>
          <w:sz w:val="32"/>
          <w:szCs w:val="32"/>
          <w:highlight w:val="none"/>
          <w:lang w:val="en-US" w:eastAsia="zh-CN"/>
        </w:rPr>
        <w:t>2.精准定位红色培训。坚持“电大人讲井冈山故事，电大人讲井冈山精神”，原汁原味呈现井冈山精神内涵，大力传承红色基因，努力将井冈山的红色资源优势转化为办学育人优势；采用“红色+特色”专题讲座、情景交融现场教学等方式开展党性教育培训，2020年在后疫情时代克服困难为国家开放大学开办“党性与国情教育”培训班1期、协办华东地区开放大学联盟会1场。2020年国家开放大学在吉安电大设立“思想政治教育基地”。</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3"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b/>
          <w:bCs/>
          <w:color w:val="auto"/>
          <w:sz w:val="32"/>
          <w:szCs w:val="32"/>
          <w:highlight w:val="none"/>
        </w:rPr>
        <w:t>五</w:t>
      </w:r>
      <w:r>
        <w:rPr>
          <w:rFonts w:hint="eastAsia" w:ascii="黑体" w:hAnsi="黑体" w:eastAsia="黑体" w:cs="黑体"/>
          <w:color w:val="auto"/>
          <w:sz w:val="32"/>
          <w:szCs w:val="32"/>
          <w:highlight w:val="none"/>
        </w:rPr>
        <w:t>、社会服务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（一）服务地方经济社会发展与学习型社会建设情况</w:t>
      </w:r>
    </w:p>
    <w:p>
      <w:pPr>
        <w:keepNext w:val="0"/>
        <w:keepLines w:val="0"/>
        <w:pageBreakBefore w:val="0"/>
        <w:widowControl w:val="0"/>
        <w:tabs>
          <w:tab w:val="left" w:pos="818"/>
        </w:tabs>
        <w:kinsoku/>
        <w:wordWrap/>
        <w:overflowPunct/>
        <w:topLinePunct w:val="0"/>
        <w:autoSpaceDE/>
        <w:autoSpaceDN/>
        <w:bidi w:val="0"/>
        <w:adjustRightInd/>
        <w:snapToGrid/>
        <w:spacing w:line="576" w:lineRule="exact"/>
        <w:ind w:firstLine="422" w:firstLineChars="200"/>
        <w:textAlignment w:val="auto"/>
        <w:outlineLvl w:val="2"/>
        <w:rPr>
          <w:rFonts w:ascii="仿宋" w:hAnsi="仿宋" w:eastAsia="仿宋" w:cs="仿宋"/>
          <w:b w:val="0"/>
          <w:bCs w:val="0"/>
          <w:color w:val="auto"/>
          <w:sz w:val="32"/>
          <w:szCs w:val="32"/>
          <w:highlight w:val="none"/>
        </w:rPr>
      </w:pPr>
      <w:r>
        <w:rPr>
          <w:rFonts w:hint="eastAsia"/>
          <w:b/>
          <w:bCs/>
          <w:color w:val="auto"/>
          <w:highlight w:val="none"/>
        </w:rPr>
        <w:t xml:space="preserve"> </w:t>
      </w:r>
      <w:r>
        <w:rPr>
          <w:rFonts w:hint="eastAsia"/>
          <w:b w:val="0"/>
          <w:bCs w:val="0"/>
          <w:color w:val="auto"/>
          <w:highlight w:val="none"/>
        </w:rPr>
        <w:t xml:space="preserve"> </w:t>
      </w:r>
      <w:r>
        <w:rPr>
          <w:rFonts w:hint="eastAsia" w:ascii="仿宋" w:hAnsi="仿宋" w:eastAsia="仿宋" w:cs="仿宋"/>
          <w:b w:val="0"/>
          <w:bCs w:val="0"/>
          <w:color w:val="auto"/>
          <w:sz w:val="32"/>
          <w:szCs w:val="32"/>
          <w:highlight w:val="none"/>
        </w:rPr>
        <w:t>1.培养农业人才，服务乡村振兴战略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以“一村一名大学生”工程为示范窗口，教学生想学之所学，大胆走出课堂，走向基层一线，实施互动教学，凸显技能培养，着力培养基层一线“下得去，用得上”的应用型专门人才。</w:t>
      </w:r>
    </w:p>
    <w:p>
      <w:pPr>
        <w:keepNext w:val="0"/>
        <w:keepLines w:val="0"/>
        <w:pageBreakBefore w:val="0"/>
        <w:widowControl w:val="0"/>
        <w:tabs>
          <w:tab w:val="left" w:pos="818"/>
        </w:tabs>
        <w:kinsoku/>
        <w:wordWrap/>
        <w:overflowPunct/>
        <w:topLinePunct w:val="0"/>
        <w:autoSpaceDE/>
        <w:autoSpaceDN/>
        <w:bidi w:val="0"/>
        <w:adjustRightInd/>
        <w:snapToGrid/>
        <w:spacing w:line="576" w:lineRule="exact"/>
        <w:ind w:firstLine="640" w:firstLineChars="200"/>
        <w:textAlignment w:val="auto"/>
        <w:outlineLvl w:val="2"/>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2.开展行业培养，服务经济高质量发展</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遵循政策，紧紧围绕习近平总书记提出的“培养什么人，怎样培养人，为谁培养人”三个问题，对照培养实施方案，结合高职扩招生源的独特性，做足学情分析，精心谋划，大胆尝试，力争闯出一条较适合吉安区情的高职扩招教育的可持续发展之路，为地方经济高质量发展服务。</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outlineLvl w:val="2"/>
        <w:rPr>
          <w:rFonts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rPr>
        <w:t>3.办好社区教育，服务学习型社会建设</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走出去，请进来，不等不靠，安排经费，先行先试，</w:t>
      </w:r>
      <w:r>
        <w:rPr>
          <w:rStyle w:val="10"/>
          <w:rFonts w:hint="eastAsia" w:ascii="仿宋_GB2312" w:hAnsi="仿宋_GB2312" w:eastAsia="仿宋_GB2312" w:cs="仿宋_GB2312"/>
          <w:bCs/>
          <w:color w:val="auto"/>
          <w:sz w:val="32"/>
          <w:szCs w:val="32"/>
          <w:highlight w:val="none"/>
        </w:rPr>
        <w:t>积极组织我市社区教育工作者参加“职业院校社区教育能力提升”专业国家级培训，曹丽等三人荣获优秀学员</w:t>
      </w:r>
      <w:r>
        <w:rPr>
          <w:rFonts w:hint="eastAsia" w:ascii="仿宋_GB2312" w:hAnsi="仿宋" w:eastAsia="仿宋_GB2312" w:cs="仿宋"/>
          <w:color w:val="auto"/>
          <w:sz w:val="32"/>
          <w:szCs w:val="32"/>
          <w:highlight w:val="none"/>
        </w:rPr>
        <w:t>；围绕政府工作定位，探索打造面向</w:t>
      </w:r>
      <w:r>
        <w:rPr>
          <w:rStyle w:val="10"/>
          <w:rFonts w:hint="eastAsia" w:ascii="仿宋_GB2312" w:hAnsi="仿宋_GB2312" w:eastAsia="仿宋_GB2312" w:cs="仿宋_GB2312"/>
          <w:bCs/>
          <w:color w:val="auto"/>
          <w:sz w:val="32"/>
          <w:szCs w:val="32"/>
          <w:highlight w:val="none"/>
        </w:rPr>
        <w:t>中小学生的“四点半课堂”青少年篮球等特色服务；</w:t>
      </w:r>
      <w:r>
        <w:rPr>
          <w:rFonts w:hint="eastAsia" w:ascii="仿宋_GB2312" w:hAnsi="仿宋" w:eastAsia="仿宋_GB2312" w:cs="仿宋"/>
          <w:color w:val="auto"/>
          <w:sz w:val="32"/>
          <w:szCs w:val="32"/>
          <w:highlight w:val="none"/>
        </w:rPr>
        <w:t>广泛征集遴选百姓学习之星、优秀成人继续教育院校、终身学习品牌项目，吉安市社区教育指导中心申报的“江西文轩教育科技集团”的新家庭教育项目荣获全国终身学习品牌项目、“吉水县老年大学桑榆未晚夕阳红”荣获江西省终身学习品牌项目、周会生老师荣获全省百姓学习之星；设计了具有吉安特色的全省“全民终身学习活动周总开幕式”展板，大力宣传我市社区教育成果，着力打造社区教育+项目示范窗口。</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（二）对口支援、教育帮扶情况</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仿宋_GB2312"/>
          <w:color w:val="auto"/>
          <w:sz w:val="32"/>
          <w:szCs w:val="32"/>
          <w:highlight w:val="none"/>
        </w:rPr>
        <w:t>吉安</w:t>
      </w:r>
      <w:r>
        <w:rPr>
          <w:rFonts w:hint="eastAsia" w:ascii="仿宋" w:hAnsi="仿宋" w:eastAsia="仿宋" w:cs="仿宋_GB2312"/>
          <w:color w:val="auto"/>
          <w:sz w:val="32"/>
          <w:szCs w:val="32"/>
          <w:highlight w:val="none"/>
          <w:lang w:eastAsia="zh-CN"/>
        </w:rPr>
        <w:t>市分校</w:t>
      </w:r>
      <w:r>
        <w:rPr>
          <w:rFonts w:hint="eastAsia" w:ascii="仿宋" w:hAnsi="仿宋" w:eastAsia="仿宋" w:cs="宋体"/>
          <w:color w:val="auto"/>
          <w:kern w:val="0"/>
          <w:sz w:val="32"/>
          <w:szCs w:val="32"/>
          <w:highlight w:val="none"/>
        </w:rPr>
        <w:t>隶属井冈山大学，依托井冈山大学丰富的教学资源，</w:t>
      </w:r>
      <w:r>
        <w:rPr>
          <w:rFonts w:hint="eastAsia" w:ascii="仿宋" w:hAnsi="仿宋" w:eastAsia="仿宋" w:cs="宋体"/>
          <w:color w:val="auto"/>
          <w:kern w:val="0"/>
          <w:sz w:val="32"/>
          <w:szCs w:val="32"/>
          <w:highlight w:val="none"/>
          <w:lang w:eastAsia="zh-CN"/>
        </w:rPr>
        <w:t>根据上级安排，</w:t>
      </w:r>
      <w:r>
        <w:rPr>
          <w:rFonts w:hint="eastAsia" w:ascii="仿宋" w:hAnsi="仿宋" w:eastAsia="仿宋" w:cs="宋体"/>
          <w:color w:val="auto"/>
          <w:kern w:val="0"/>
          <w:sz w:val="32"/>
          <w:szCs w:val="32"/>
          <w:highlight w:val="none"/>
        </w:rPr>
        <w:t>积极开展教育帮扶工作，在</w:t>
      </w:r>
      <w:r>
        <w:rPr>
          <w:rFonts w:ascii="仿宋" w:hAnsi="仿宋" w:eastAsia="仿宋" w:cs="宋体"/>
          <w:color w:val="auto"/>
          <w:kern w:val="0"/>
          <w:sz w:val="32"/>
          <w:szCs w:val="32"/>
          <w:highlight w:val="none"/>
        </w:rPr>
        <w:t>省级定点扶贫龙源口镇绥远山村</w:t>
      </w:r>
      <w:r>
        <w:rPr>
          <w:rFonts w:hint="eastAsia" w:ascii="仿宋" w:hAnsi="仿宋" w:eastAsia="仿宋" w:cs="宋体"/>
          <w:color w:val="auto"/>
          <w:kern w:val="0"/>
          <w:sz w:val="32"/>
          <w:szCs w:val="32"/>
          <w:highlight w:val="none"/>
        </w:rPr>
        <w:t>的帮扶工作中，</w:t>
      </w:r>
      <w:r>
        <w:rPr>
          <w:rFonts w:ascii="仿宋" w:hAnsi="仿宋" w:eastAsia="仿宋" w:cs="宋体"/>
          <w:color w:val="auto"/>
          <w:kern w:val="0"/>
          <w:sz w:val="32"/>
          <w:szCs w:val="32"/>
          <w:highlight w:val="none"/>
        </w:rPr>
        <w:t>帮扶工作队融入到村党支部当中去，发挥党员的引领作用，带动村民共同发展</w:t>
      </w:r>
      <w:r>
        <w:rPr>
          <w:rFonts w:hint="eastAsia" w:ascii="仿宋" w:hAnsi="仿宋" w:eastAsia="仿宋" w:cs="宋体"/>
          <w:color w:val="auto"/>
          <w:kern w:val="0"/>
          <w:sz w:val="32"/>
          <w:szCs w:val="32"/>
          <w:highlight w:val="none"/>
        </w:rPr>
        <w:t>，</w:t>
      </w:r>
      <w:r>
        <w:rPr>
          <w:rFonts w:ascii="仿宋" w:hAnsi="仿宋" w:eastAsia="仿宋" w:cs="宋体"/>
          <w:color w:val="auto"/>
          <w:kern w:val="0"/>
          <w:sz w:val="32"/>
          <w:szCs w:val="32"/>
          <w:highlight w:val="none"/>
        </w:rPr>
        <w:t>充分发挥资源优势、科技优势和智力优势，深入挖掘龙源口镇丰富的红色资源，在产业和农业发展方面分类施策、精准发力</w:t>
      </w:r>
      <w:r>
        <w:rPr>
          <w:rFonts w:hint="eastAsia" w:ascii="仿宋" w:hAnsi="仿宋" w:eastAsia="仿宋" w:cs="宋体"/>
          <w:color w:val="auto"/>
          <w:kern w:val="0"/>
          <w:sz w:val="32"/>
          <w:szCs w:val="32"/>
          <w:highlight w:val="none"/>
        </w:rPr>
        <w:t>。</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（三）学校资源面向校内、社会开放服务情况</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ascii="仿宋" w:hAnsi="仿宋" w:eastAsia="仿宋" w:cs="仿宋"/>
          <w:bCs/>
          <w:color w:val="auto"/>
          <w:sz w:val="32"/>
          <w:szCs w:val="32"/>
          <w:highlight w:val="none"/>
        </w:rPr>
      </w:pPr>
      <w:r>
        <w:rPr>
          <w:rFonts w:ascii="仿宋" w:hAnsi="仿宋" w:eastAsia="仿宋" w:cs="宋体"/>
          <w:color w:val="auto"/>
          <w:kern w:val="0"/>
          <w:sz w:val="32"/>
          <w:szCs w:val="32"/>
          <w:highlight w:val="none"/>
        </w:rPr>
        <w:t>充分利用和整合各类教育资源</w:t>
      </w:r>
      <w:r>
        <w:rPr>
          <w:rFonts w:hint="eastAsia" w:ascii="仿宋" w:hAnsi="仿宋" w:eastAsia="仿宋" w:cs="宋体"/>
          <w:color w:val="auto"/>
          <w:kern w:val="0"/>
          <w:sz w:val="32"/>
          <w:szCs w:val="32"/>
          <w:highlight w:val="none"/>
        </w:rPr>
        <w:t>，加大校内图书、实训、实验、数字化资源和其他教学设备对社会开放力度，提供公益服务工作</w:t>
      </w:r>
      <w:r>
        <w:rPr>
          <w:rFonts w:hint="eastAsia" w:ascii="仿宋" w:hAnsi="仿宋" w:eastAsia="仿宋" w:cs="宋体"/>
          <w:color w:val="auto"/>
          <w:kern w:val="0"/>
          <w:sz w:val="32"/>
          <w:szCs w:val="32"/>
          <w:highlight w:val="none"/>
          <w:lang w:eastAsia="zh-CN"/>
        </w:rPr>
        <w:t>；</w:t>
      </w:r>
      <w:r>
        <w:rPr>
          <w:rFonts w:ascii="仿宋" w:hAnsi="仿宋" w:eastAsia="仿宋" w:cs="宋体"/>
          <w:color w:val="auto"/>
          <w:kern w:val="0"/>
          <w:sz w:val="32"/>
          <w:szCs w:val="32"/>
          <w:highlight w:val="none"/>
        </w:rPr>
        <w:t>充分利用</w:t>
      </w:r>
      <w:r>
        <w:rPr>
          <w:rFonts w:hint="eastAsia" w:ascii="仿宋" w:hAnsi="仿宋" w:eastAsia="仿宋" w:cs="仿宋"/>
          <w:bCs/>
          <w:color w:val="auto"/>
          <w:sz w:val="32"/>
          <w:szCs w:val="32"/>
          <w:highlight w:val="none"/>
        </w:rPr>
        <w:t>校区中心城区的地理优势，先后有序引进了茶艺师、保育员、育婴师、青少年篮球、收纳师、健康管理师等社区教育工作室，丰富社区居民的业余生活、促进青少健康成长、为居民就业再就业创造了机会；依托老年大学教学场地、师资和课程，与老年大学有序开展烹饪、长青大讲堂、交谊舞、应急急救等培训活动，丰富老年人的生活。</w:t>
      </w:r>
      <w:r>
        <w:rPr>
          <w:rFonts w:ascii="仿宋" w:hAnsi="仿宋" w:eastAsia="仿宋" w:cs="仿宋"/>
          <w:bCs/>
          <w:color w:val="auto"/>
          <w:sz w:val="32"/>
          <w:szCs w:val="32"/>
          <w:highlight w:val="none"/>
        </w:rPr>
        <w:t>图书馆</w:t>
      </w:r>
      <w:r>
        <w:rPr>
          <w:rFonts w:hint="eastAsia" w:ascii="仿宋" w:hAnsi="仿宋" w:eastAsia="仿宋" w:cs="仿宋"/>
          <w:bCs/>
          <w:color w:val="auto"/>
          <w:sz w:val="32"/>
          <w:szCs w:val="32"/>
          <w:highlight w:val="none"/>
        </w:rPr>
        <w:t>利用丰富的图书资源，开展</w:t>
      </w:r>
      <w:r>
        <w:rPr>
          <w:rFonts w:ascii="仿宋" w:hAnsi="仿宋" w:eastAsia="仿宋" w:cs="仿宋"/>
          <w:bCs/>
          <w:color w:val="auto"/>
          <w:sz w:val="32"/>
          <w:szCs w:val="32"/>
          <w:highlight w:val="none"/>
        </w:rPr>
        <w:t>与附小联合举办 “大手牵小手，图书馆红色文化进附小”</w:t>
      </w:r>
      <w:r>
        <w:rPr>
          <w:rFonts w:hint="eastAsia" w:ascii="仿宋" w:hAnsi="仿宋" w:eastAsia="仿宋" w:cs="仿宋"/>
          <w:bCs/>
          <w:color w:val="auto"/>
          <w:sz w:val="32"/>
          <w:szCs w:val="32"/>
          <w:highlight w:val="none"/>
        </w:rPr>
        <w:t>等活动。</w:t>
      </w: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line="600"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年度办学业务考评</w:t>
      </w:r>
    </w:p>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lang w:val="en-US" w:eastAsia="zh-CN"/>
        </w:rPr>
      </w:pPr>
    </w:p>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lang w:val="en-US" w:eastAsia="zh-CN"/>
        </w:rPr>
      </w:pPr>
    </w:p>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lang w:val="en-US" w:eastAsia="zh-CN"/>
        </w:rPr>
      </w:pPr>
    </w:p>
    <w:p>
      <w:pPr>
        <w:pageBreakBefore w:val="0"/>
        <w:widowControl/>
        <w:kinsoku/>
        <w:wordWrap/>
        <w:overflowPunct/>
        <w:topLinePunct w:val="0"/>
        <w:autoSpaceDE/>
        <w:autoSpaceDN/>
        <w:bidi w:val="0"/>
        <w:adjustRightInd w:val="0"/>
        <w:snapToGrid w:val="0"/>
        <w:spacing w:line="520" w:lineRule="exact"/>
        <w:jc w:val="center"/>
        <w:textAlignment w:val="center"/>
        <w:rPr>
          <w:rFonts w:hint="default" w:ascii="黑体" w:hAnsi="黑体" w:eastAsia="黑体" w:cs="黑体"/>
          <w:color w:val="auto"/>
          <w:sz w:val="32"/>
          <w:szCs w:val="32"/>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83.6</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pStyle w:val="2"/>
        <w:keepNext w:val="0"/>
        <w:keepLines w:val="0"/>
        <w:pageBreakBefore w:val="0"/>
        <w:kinsoku/>
        <w:wordWrap/>
        <w:overflowPunct/>
        <w:topLinePunct w:val="0"/>
        <w:autoSpaceDE/>
        <w:autoSpaceDN/>
        <w:bidi w:val="0"/>
        <w:spacing w:after="0"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w:t>
      </w:r>
      <w:r>
        <w:rPr>
          <w:rFonts w:hint="eastAsia" w:ascii="黑体" w:hAnsi="黑体" w:eastAsia="黑体" w:cs="黑体"/>
          <w:color w:val="auto"/>
          <w:sz w:val="32"/>
          <w:szCs w:val="32"/>
          <w:highlight w:val="none"/>
          <w:lang w:eastAsia="zh-CN"/>
        </w:rPr>
        <w:t>存在的</w:t>
      </w:r>
      <w:r>
        <w:rPr>
          <w:rFonts w:hint="eastAsia" w:ascii="黑体" w:hAnsi="黑体" w:eastAsia="黑体" w:cs="黑体"/>
          <w:color w:val="auto"/>
          <w:sz w:val="32"/>
          <w:szCs w:val="32"/>
          <w:highlight w:val="none"/>
        </w:rPr>
        <w:t>问题</w:t>
      </w:r>
    </w:p>
    <w:p>
      <w:pPr>
        <w:keepNext w:val="0"/>
        <w:keepLines w:val="0"/>
        <w:pageBreakBefore w:val="0"/>
        <w:kinsoku/>
        <w:wordWrap/>
        <w:overflowPunct/>
        <w:topLinePunct w:val="0"/>
        <w:autoSpaceDE/>
        <w:autoSpaceDN/>
        <w:bidi w:val="0"/>
        <w:spacing w:line="56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1</w:t>
      </w:r>
      <w:r>
        <w:rPr>
          <w:rFonts w:hint="eastAsia" w:ascii="仿宋_GB2312" w:hAnsi="仿宋" w:eastAsia="仿宋_GB2312"/>
          <w:color w:val="auto"/>
          <w:sz w:val="32"/>
          <w:szCs w:val="32"/>
          <w:highlight w:val="none"/>
          <w:lang w:eastAsia="zh-CN"/>
        </w:rPr>
        <w:t>.</w:t>
      </w:r>
      <w:r>
        <w:rPr>
          <w:rFonts w:ascii="仿宋_GB2312" w:hAnsi="仿宋" w:eastAsia="仿宋_GB2312"/>
          <w:color w:val="auto"/>
          <w:sz w:val="32"/>
          <w:szCs w:val="32"/>
          <w:highlight w:val="none"/>
        </w:rPr>
        <w:t>远程教育教与学时空分离，学生的自主学习能力不强，不能积极主动与教师进行沟通、互动，致使学生流失率较高。</w:t>
      </w:r>
    </w:p>
    <w:p>
      <w:pPr>
        <w:keepNext w:val="0"/>
        <w:keepLines w:val="0"/>
        <w:pageBreakBefore w:val="0"/>
        <w:kinsoku/>
        <w:wordWrap/>
        <w:overflowPunct/>
        <w:topLinePunct w:val="0"/>
        <w:autoSpaceDE/>
        <w:autoSpaceDN/>
        <w:bidi w:val="0"/>
        <w:spacing w:line="560" w:lineRule="exact"/>
        <w:ind w:firstLine="640" w:firstLineChars="200"/>
        <w:rPr>
          <w:rFonts w:ascii="仿宋_GB2312" w:hAnsi="仿宋" w:eastAsia="仿宋_GB2312"/>
          <w:color w:val="auto"/>
          <w:sz w:val="32"/>
          <w:szCs w:val="32"/>
          <w:highlight w:val="none"/>
        </w:rPr>
      </w:pPr>
      <w:r>
        <w:rPr>
          <w:rFonts w:ascii="仿宋_GB2312" w:hAnsi="仿宋" w:eastAsia="仿宋_GB2312"/>
          <w:color w:val="auto"/>
          <w:sz w:val="32"/>
          <w:szCs w:val="32"/>
          <w:highlight w:val="none"/>
        </w:rPr>
        <w:t>2</w:t>
      </w:r>
      <w:r>
        <w:rPr>
          <w:rFonts w:hint="eastAsia" w:ascii="仿宋_GB2312" w:hAnsi="仿宋" w:eastAsia="仿宋_GB2312"/>
          <w:color w:val="auto"/>
          <w:sz w:val="32"/>
          <w:szCs w:val="32"/>
          <w:highlight w:val="none"/>
          <w:lang w:eastAsia="zh-CN"/>
        </w:rPr>
        <w:t>.</w:t>
      </w:r>
      <w:r>
        <w:rPr>
          <w:rFonts w:ascii="仿宋_GB2312" w:hAnsi="仿宋" w:eastAsia="仿宋_GB2312"/>
          <w:color w:val="auto"/>
          <w:sz w:val="32"/>
          <w:szCs w:val="32"/>
          <w:highlight w:val="none"/>
        </w:rPr>
        <w:t>教学能力建设相对滞后，学科专业建设能力不强，缺乏品牌专业；课程体系单薄，结构失衡；教材建设能力以及科研水平长期得不到提高，大多数专业课程教材内容陈旧，知识更新不及时，过于强调学科知识的结构而缺乏对实际专业能力的整合。</w:t>
      </w:r>
    </w:p>
    <w:p>
      <w:pPr>
        <w:keepNext w:val="0"/>
        <w:keepLines w:val="0"/>
        <w:pageBreakBefore w:val="0"/>
        <w:kinsoku/>
        <w:wordWrap/>
        <w:overflowPunct/>
        <w:topLinePunct w:val="0"/>
        <w:autoSpaceDE/>
        <w:autoSpaceDN/>
        <w:bidi w:val="0"/>
        <w:spacing w:line="560" w:lineRule="exact"/>
        <w:ind w:firstLine="640" w:firstLineChars="200"/>
        <w:rPr>
          <w:rFonts w:ascii="仿宋_GB2312" w:hAnsi="仿宋" w:eastAsia="仿宋_GB2312"/>
          <w:color w:val="auto"/>
          <w:sz w:val="32"/>
          <w:szCs w:val="32"/>
          <w:highlight w:val="none"/>
        </w:rPr>
      </w:pPr>
      <w:r>
        <w:rPr>
          <w:rFonts w:ascii="仿宋_GB2312" w:hAnsi="仿宋" w:eastAsia="仿宋_GB2312"/>
          <w:color w:val="auto"/>
          <w:sz w:val="32"/>
          <w:szCs w:val="32"/>
          <w:highlight w:val="none"/>
        </w:rPr>
        <w:t>3</w:t>
      </w:r>
      <w:r>
        <w:rPr>
          <w:rFonts w:hint="eastAsia" w:ascii="仿宋_GB2312" w:hAnsi="仿宋" w:eastAsia="仿宋_GB2312"/>
          <w:color w:val="auto"/>
          <w:sz w:val="32"/>
          <w:szCs w:val="32"/>
          <w:highlight w:val="none"/>
          <w:lang w:eastAsia="zh-CN"/>
        </w:rPr>
        <w:t>.</w:t>
      </w:r>
      <w:r>
        <w:rPr>
          <w:rFonts w:ascii="仿宋_GB2312" w:hAnsi="仿宋" w:eastAsia="仿宋_GB2312"/>
          <w:color w:val="auto"/>
          <w:sz w:val="32"/>
          <w:szCs w:val="32"/>
          <w:highlight w:val="none"/>
        </w:rPr>
        <w:t>教学质量评估尚有许多问题没有解决，</w:t>
      </w:r>
      <w:r>
        <w:rPr>
          <w:rFonts w:hint="eastAsia" w:ascii="仿宋_GB2312" w:hAnsi="仿宋" w:eastAsia="仿宋_GB2312"/>
          <w:color w:val="auto"/>
          <w:sz w:val="32"/>
          <w:szCs w:val="32"/>
          <w:highlight w:val="none"/>
        </w:rPr>
        <w:t>专业</w:t>
      </w:r>
      <w:r>
        <w:rPr>
          <w:rFonts w:ascii="仿宋_GB2312" w:hAnsi="仿宋" w:eastAsia="仿宋_GB2312"/>
          <w:color w:val="auto"/>
          <w:sz w:val="32"/>
          <w:szCs w:val="32"/>
          <w:highlight w:val="none"/>
        </w:rPr>
        <w:t>论文，需要进一步对其内涵、方法和步骤在理论上进行发掘，在实践中不断探索。</w:t>
      </w:r>
    </w:p>
    <w:p>
      <w:pPr>
        <w:pStyle w:val="2"/>
        <w:keepNext w:val="0"/>
        <w:keepLines w:val="0"/>
        <w:pageBreakBefore w:val="0"/>
        <w:kinsoku/>
        <w:wordWrap/>
        <w:overflowPunct/>
        <w:topLinePunct w:val="0"/>
        <w:autoSpaceDE/>
        <w:autoSpaceDN/>
        <w:bidi w:val="0"/>
        <w:spacing w:after="0"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八、对策建议</w:t>
      </w:r>
    </w:p>
    <w:p>
      <w:pPr>
        <w:keepNext w:val="0"/>
        <w:keepLines w:val="0"/>
        <w:pageBreakBefore w:val="0"/>
        <w:kinsoku/>
        <w:wordWrap/>
        <w:overflowPunct/>
        <w:topLinePunct w:val="0"/>
        <w:autoSpaceDE/>
        <w:autoSpaceDN/>
        <w:bidi w:val="0"/>
        <w:spacing w:line="560" w:lineRule="exact"/>
        <w:ind w:firstLine="640" w:firstLineChars="200"/>
        <w:rPr>
          <w:color w:val="auto"/>
          <w:highlight w:val="none"/>
        </w:rPr>
      </w:pPr>
      <w:r>
        <w:rPr>
          <w:rFonts w:hint="eastAsia" w:ascii="仿宋_GB2312" w:hAnsi="仿宋" w:eastAsia="仿宋_GB2312"/>
          <w:color w:val="auto"/>
          <w:sz w:val="32"/>
          <w:szCs w:val="32"/>
          <w:highlight w:val="none"/>
        </w:rPr>
        <w:t>1.依据国家开放大学开放教育的办学特色，</w:t>
      </w:r>
      <w:r>
        <w:rPr>
          <w:rFonts w:hint="eastAsia" w:ascii="仿宋" w:hAnsi="仿宋" w:eastAsia="仿宋" w:cs="仿宋"/>
          <w:color w:val="auto"/>
          <w:spacing w:val="-4"/>
          <w:sz w:val="32"/>
          <w:szCs w:val="32"/>
          <w:highlight w:val="none"/>
        </w:rPr>
        <w:t>做强开放教育、拓展高职教育、做大红色培训、开拓社区教育。形成以开放教育为龙头、电大成人教育为主业、红色培训为支撑、社区教育为补充的学历继续教育与非学历教育培训体系。</w:t>
      </w:r>
    </w:p>
    <w:p>
      <w:pPr>
        <w:keepNext w:val="0"/>
        <w:keepLines w:val="0"/>
        <w:pageBreakBefore w:val="0"/>
        <w:kinsoku/>
        <w:wordWrap/>
        <w:overflowPunct/>
        <w:topLinePunct w:val="0"/>
        <w:autoSpaceDE/>
        <w:autoSpaceDN/>
        <w:bidi w:val="0"/>
        <w:spacing w:line="56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2.严格按照《</w:t>
      </w:r>
      <w:r>
        <w:rPr>
          <w:rFonts w:hint="eastAsia" w:ascii="仿宋_GB2312" w:hAnsi="仿宋" w:eastAsia="仿宋_GB2312"/>
          <w:color w:val="auto"/>
          <w:sz w:val="32"/>
          <w:szCs w:val="32"/>
          <w:highlight w:val="none"/>
          <w:lang w:eastAsia="zh-CN"/>
        </w:rPr>
        <w:t>市校</w:t>
      </w:r>
      <w:r>
        <w:rPr>
          <w:rFonts w:hint="eastAsia" w:ascii="仿宋_GB2312" w:hAnsi="仿宋" w:eastAsia="仿宋_GB2312"/>
          <w:color w:val="auto"/>
          <w:sz w:val="32"/>
          <w:szCs w:val="32"/>
          <w:highlight w:val="none"/>
        </w:rPr>
        <w:t>办学业务工作考核指标体系》落实教学、考试、学籍等管理工作，重点加强学生网上学习管理工作和师资队伍建设工作。</w:t>
      </w:r>
    </w:p>
    <w:p>
      <w:pPr>
        <w:keepNext w:val="0"/>
        <w:keepLines w:val="0"/>
        <w:pageBreakBefore w:val="0"/>
        <w:kinsoku/>
        <w:wordWrap/>
        <w:overflowPunct/>
        <w:topLinePunct w:val="0"/>
        <w:autoSpaceDE/>
        <w:autoSpaceDN/>
        <w:bidi w:val="0"/>
        <w:spacing w:line="560" w:lineRule="exact"/>
        <w:ind w:firstLine="640" w:firstLineChars="200"/>
        <w:rPr>
          <w:rFonts w:hint="eastAsia" w:ascii="仿宋_GB2312" w:hAnsi="仿宋" w:eastAsia="仿宋_GB2312"/>
          <w:color w:val="auto"/>
          <w:sz w:val="32"/>
          <w:szCs w:val="32"/>
          <w:highlight w:val="none"/>
          <w:lang w:eastAsia="zh-CN"/>
        </w:rPr>
      </w:pPr>
      <w:r>
        <w:rPr>
          <w:rFonts w:hint="eastAsia" w:ascii="仿宋_GB2312" w:hAnsi="仿宋" w:eastAsia="仿宋_GB2312"/>
          <w:color w:val="auto"/>
          <w:sz w:val="32"/>
          <w:szCs w:val="32"/>
          <w:highlight w:val="none"/>
        </w:rPr>
        <w:t>3.加强开放教育教学管理，加强开放教育教师队伍管理，进一步完成专业责任老师队伍建设，切实提升教学质量。</w:t>
      </w:r>
    </w:p>
    <w:p>
      <w:pPr>
        <w:rPr>
          <w:color w:val="auto"/>
          <w:highlight w:val="none"/>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- 5 -</w:t>
                          </w:r>
                          <w:r>
                            <w:rPr>
                              <w:rFonts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- 5 -</w:t>
                    </w:r>
                    <w:r>
                      <w:rPr>
                        <w:rFonts w:hint="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E5FC7"/>
    <w:multiLevelType w:val="singleLevel"/>
    <w:tmpl w:val="DEDE5FC7"/>
    <w:lvl w:ilvl="0" w:tentative="0">
      <w:start w:val="3"/>
      <w:numFmt w:val="chineseCounting"/>
      <w:suff w:val="nothing"/>
      <w:lvlText w:val="%1、"/>
      <w:lvlJc w:val="left"/>
      <w:rPr>
        <w:rFonts w:hint="eastAsia"/>
      </w:rPr>
    </w:lvl>
  </w:abstractNum>
  <w:abstractNum w:abstractNumId="1">
    <w:nsid w:val="F09FE34C"/>
    <w:multiLevelType w:val="singleLevel"/>
    <w:tmpl w:val="F09FE34C"/>
    <w:lvl w:ilvl="0" w:tentative="0">
      <w:start w:val="1"/>
      <w:numFmt w:val="chineseCounting"/>
      <w:suff w:val="nothing"/>
      <w:lvlText w:val="（%1）"/>
      <w:lvlJc w:val="left"/>
      <w:pPr>
        <w:ind w:left="0" w:firstLine="420"/>
      </w:pPr>
      <w:rPr>
        <w:rFonts w:hint="eastAsia"/>
      </w:rPr>
    </w:lvl>
  </w:abstractNum>
  <w:abstractNum w:abstractNumId="2">
    <w:nsid w:val="07F8FDCE"/>
    <w:multiLevelType w:val="singleLevel"/>
    <w:tmpl w:val="07F8FDCE"/>
    <w:lvl w:ilvl="0" w:tentative="0">
      <w:start w:val="2"/>
      <w:numFmt w:val="chineseCounting"/>
      <w:suff w:val="nothing"/>
      <w:lvlText w:val="（%1）"/>
      <w:lvlJc w:val="left"/>
      <w:pPr>
        <w:ind w:left="320" w:firstLine="0"/>
      </w:pPr>
      <w:rPr>
        <w:rFonts w:hint="eastAsia"/>
      </w:rPr>
    </w:lvl>
  </w:abstractNum>
  <w:abstractNum w:abstractNumId="3">
    <w:nsid w:val="66BF78B8"/>
    <w:multiLevelType w:val="singleLevel"/>
    <w:tmpl w:val="66BF78B8"/>
    <w:lvl w:ilvl="0" w:tentative="0">
      <w:start w:val="1"/>
      <w:numFmt w:val="chineseCounting"/>
      <w:suff w:val="nothing"/>
      <w:lvlText w:val="%1、"/>
      <w:lvlJc w:val="left"/>
      <w:rPr>
        <w:rFonts w:hint="eastAsia"/>
      </w:rPr>
    </w:lvl>
  </w:abstractNum>
  <w:abstractNum w:abstractNumId="4">
    <w:nsid w:val="6EB2AD7A"/>
    <w:multiLevelType w:val="singleLevel"/>
    <w:tmpl w:val="6EB2AD7A"/>
    <w:lvl w:ilvl="0" w:tentative="0">
      <w:start w:val="6"/>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944E40"/>
    <w:rsid w:val="06554165"/>
    <w:rsid w:val="13AD22EA"/>
    <w:rsid w:val="13C6247E"/>
    <w:rsid w:val="18381DF4"/>
    <w:rsid w:val="1D5D79F7"/>
    <w:rsid w:val="1FA20593"/>
    <w:rsid w:val="23630CC6"/>
    <w:rsid w:val="248569A7"/>
    <w:rsid w:val="27944E40"/>
    <w:rsid w:val="322D402F"/>
    <w:rsid w:val="354D73C8"/>
    <w:rsid w:val="39DF3C72"/>
    <w:rsid w:val="3ED2049F"/>
    <w:rsid w:val="47942AF5"/>
    <w:rsid w:val="47CB2AA7"/>
    <w:rsid w:val="4B2B2CA9"/>
    <w:rsid w:val="4E5F1243"/>
    <w:rsid w:val="544D5393"/>
    <w:rsid w:val="564F4EFB"/>
    <w:rsid w:val="5B4F30A5"/>
    <w:rsid w:val="605A1F61"/>
    <w:rsid w:val="6A9E514A"/>
    <w:rsid w:val="6E0C7B09"/>
    <w:rsid w:val="70CD3183"/>
    <w:rsid w:val="742E7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16"/>
    <w:qFormat/>
    <w:uiPriority w:val="0"/>
    <w:rPr>
      <w:rFonts w:hint="default" w:ascii="Times New Roman" w:hAnsi="Times New Roman" w:cs="Times New Roman"/>
    </w:rPr>
  </w:style>
  <w:style w:type="paragraph" w:styleId="9">
    <w:name w:val="List Paragraph"/>
    <w:basedOn w:val="1"/>
    <w:qFormat/>
    <w:uiPriority w:val="34"/>
    <w:pPr>
      <w:ind w:firstLine="420" w:firstLineChars="200"/>
    </w:pPr>
  </w:style>
  <w:style w:type="character" w:customStyle="1" w:styleId="10">
    <w:name w:val="NormalCharacter"/>
    <w:qFormat/>
    <w:uiPriority w:val="0"/>
    <w:rPr>
      <w:rFonts w:ascii="Calibri" w:hAnsi="Calibri" w:eastAsia="宋体" w:cs="Times New Roman"/>
      <w:kern w:val="2"/>
      <w:sz w:val="21"/>
      <w:szCs w:val="24"/>
      <w:lang w:val="en-US" w:eastAsia="zh-CN" w:bidi="ar-SA"/>
    </w:rPr>
  </w:style>
  <w:style w:type="paragraph" w:customStyle="1" w:styleId="11">
    <w:name w:val="列出段落"/>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2021-03-28T07:14:00Z</dcterms:created>
  <dc:creator>青</dc:creator>
  <cp:lastModifiedBy>青</cp:lastModifiedBy>
  <cp:lastPrinted>2021-04-22T03:08:05Z</cp:lastPrinted>
  <dcterms:modified xsi:type="dcterms:W3CDTF">2021-04-22T03:08:50Z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